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ZH_VERWALTUNGSGERICHT EG.2023.00001 vom 13. Juli 2023</w:t>
      </w:r>
    </w:p>
    <w:p>
      <w:r>
        <w:t>ZH Verwaltungsgericht, 2023-07-13, DE</w:t>
      </w:r>
    </w:p>
    <w:p>
      <w:r>
        <w:rPr>
          <w:b/>
        </w:rPr>
        <w:t xml:space="preserve">Quelle: </w:t>
      </w:r>
      <w:r>
        <w:t>https://mcp.opencaselaw.ch/entscheid/zh_verwaltungsgericht__EG.2023.00001</w:t>
      </w:r>
    </w:p>
    <w:p>
      <w:r>
        <w:t>FR: ZH_VERWALTUNGSGERICHT EG.2023.00001 du 13 juillet 2023</w:t>
      </w:r>
    </w:p>
    <w:p>
      <w:r>
        <w:t>IT: ZH_VERWALTUNGSGERICHT EG.2023.00001 del 13 luglio 2023</w:t>
      </w:r>
    </w:p>
    <w:p>
      <w:pPr>
        <w:pStyle w:val="Heading2"/>
      </w:pPr>
      <w:r>
        <w:t>Regeste</w:t>
      </w:r>
    </w:p>
    <w:p>
      <w:r>
        <w:t>kommunale Nutzungsplanung | [Aufgrund eines Kanzleiversehens sind die im Verfahren VB.2022.00328 mit Urteil vom 13. Juli 2023 festgesetzten Entschädigungsfolgen zu berichtigen bzw. zu erläutern.]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Angesichts des vom Verwaltungsgericht zu vertretenden Kanzleiversehens sind die Gerichtskosten des vorliegenden Berichtigungs- bzw. Erläuterungsverfahrens auf die Gerichtskasse zu nehmen. Parteientschädigungen sind für dieses Verfahren nicht zuzusprechen.</w:t>
      </w:r>
    </w:p>
    <w:p>
      <w:r>
        <w:rPr>
          <w:b/>
        </w:rPr>
        <w:t>E. 4</w:t>
      </w:r>
    </w:p>
    <w:p>
      <w:r>
        <w:t>Gegen diesen Entscheid ist dasselbe Rechtsmittel gegeben wie gegen den erläuterten bzw. berichtigten Entscheid (Bertschi, Vorbemerkungen zu §§ 86a–86d N. 27).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