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AN.2024.00012 vom 26. März 2025</w:t>
      </w:r>
    </w:p>
    <w:p>
      <w:r>
        <w:t>ZH Verwaltungsgericht, 2025-03-26, DE</w:t>
      </w:r>
    </w:p>
    <w:p>
      <w:r>
        <w:rPr>
          <w:b/>
        </w:rPr>
        <w:t xml:space="preserve">Quelle: </w:t>
      </w:r>
      <w:r>
        <w:t>https://mcp.opencaselaw.ch/entscheid/zh_verwaltungsgericht__AN.2024.00012</w:t>
      </w:r>
    </w:p>
    <w:p>
      <w:r>
        <w:t>FR: ZH_VERWALTUNGSGERICHT AN.2024.00012 du 26 mars 2025</w:t>
      </w:r>
    </w:p>
    <w:p>
      <w:r>
        <w:t>IT: ZH_VERWALTUNGSGERICHT AN.2024.00012 del 26 marzo 2025</w:t>
      </w:r>
    </w:p>
    <w:p>
      <w:pPr>
        <w:pStyle w:val="Heading2"/>
      </w:pPr>
      <w:r>
        <w:t>Regeste</w:t>
      </w:r>
    </w:p>
    <w:p>
      <w:r>
        <w:t>Hundeverordnung (Änderung vom 18. Dezember 2024) | [Nichteintreten infolge fehlender Beschwerdelegitimation.]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wird der Beschwerdeführer kostenpflichtig (§ 65a Abs. 2 in Verbindung mit § 13 Abs. 2 Satz 1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