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AN.2023.00007 vom 25. Januar 2024</w:t>
      </w:r>
    </w:p>
    <w:p>
      <w:r>
        <w:t>ZH Verwaltungsgericht, 2024-01-25, DE</w:t>
      </w:r>
    </w:p>
    <w:p>
      <w:r>
        <w:rPr>
          <w:b/>
        </w:rPr>
        <w:t xml:space="preserve">Quelle: </w:t>
      </w:r>
      <w:r>
        <w:t>https://mcp.opencaselaw.ch/entscheid/zh_verwaltungsgericht__AN.2023.00007</w:t>
      </w:r>
    </w:p>
    <w:p>
      <w:r>
        <w:t>FR: ZH_VERWALTUNGSGERICHT AN.2023.00007 du 25 janvier 2024</w:t>
      </w:r>
    </w:p>
    <w:p>
      <w:r>
        <w:t>IT: ZH_VERWALTUNGSGERICHT AN.2023.00007 del 25 gennaio 2024</w:t>
      </w:r>
    </w:p>
    <w:p>
      <w:pPr>
        <w:pStyle w:val="Heading2"/>
      </w:pPr>
      <w:r>
        <w:t>Regeste</w:t>
      </w:r>
    </w:p>
    <w:p>
      <w:r>
        <w:t>Verordnung über die Kleinsiedlungen ausserhalb der Bauzonen | [Verordnung über die Kleinsiedlungen ausserhalb der Bauzonen.] Nachdem die angefochtene raumplanungsrechtliche Regelung hauptsächlich die Schaffung provisorischer kantonaler Zonenordnungen mit verbindlichen Nutzungsvorschriften für die betroffenen Kleinsiedlungen betrifft, ist sie prozessual nicht als Erlass, sondern als Nutzungsplan zu behandeln. Das Rechtsmittelverfahren richtet sich nach den Bestimmungen über die Einzelaktanfechtung (E. 1.2). Die Beschwerdeführenden sind als Gesamteigentümer eines im Perimeter liegenden Grundstücks zur Beschwerde legitimiert (E. 1.3). Verzicht auf Durchführung eines Augenscheins (E. 1.5). Kognition des Verwaltungsgerichts bei der erstinstanzlichen Überprüfung raumplanungsrechtlicher Übergangsordnungen (E. 2). Der angefochtene Beschluss, welcher sich unmittelbar auf die in Art. 36 Abs. 2 RPG normierte Auffangkompetenz stützt, verstösst weder gegen das Legalitätsprinzip noch gegen den Grundsatz der Gewaltenteilung (E. 3.2). Dass der Beschwerdegegner anstelle des gewählten Vorgehens nicht sämtliche betroffenen Kleinsiedlungen einer Planungszone zuwies, ist nicht zu beanstanden (E. 3.3). Keine Verletzung des Gehörsanspruchs der Beschwerdeführenden (E. 3.4). Die vom Beschwerdegegner verwendeten Kriterien für die (Neu-)Zuweisung einer Kleinsiedlung in die provisorische kantonale Weilerzone oder das Baugebiet sind rechtskonform (E. 4). Die Zuweisung der streitbetroffenen Kleinsiedlung Hinteruttenberg in eine provisorische kantonale Weilerzone liegt innerhalb des dem Beschwerdegegner zustehenden planerischen Ermessens (E. 5). Dass der Beschwerdegegner im Rahmen der öffentlichen Auflage zur anstehenden Teilrevision des kantonalen Richtplans eine Zuweisung der Kleinsiedlung Hinteruttenberg ins Siedlungsgebiet beantragt hat, vermag die Sachgerechtigkeit der zur Beurteilung stehenden provisorischen Nutzungsplanung nicht infrage zu stellen (E. 6). Abweisung.</w:t>
      </w:r>
    </w:p>
    <w:p>
      <w:pPr>
        <w:pStyle w:val="Heading2"/>
      </w:pPr>
      <w:r>
        <w:t>Erwägungen</w:t>
      </w:r>
    </w:p>
    <w:p>
      <w:r>
        <w:rPr>
          <w:b/>
        </w:rPr>
        <w:t>E. 3</w:t>
      </w:r>
    </w:p>
    <w:p>
      <w:r>
        <w:t>Abteilung AN.2023.00007 Urteil der 3. Kammer vom 25. Januar 2024 Mitwirkend: Abteilungspräsident André Moser (Vorsitz) , Verwaltungsrichterin Silvia Hunziker, Verwaltungsrichter Franz Kessler Coendet, Gerichtsschreiber Serafin Ritscher. In Sachen Erbengemeinschaft A, nämlich: 1.    B, 2.    C, 3.    D, alle vertreten durch RA E, Beschwerdeführende,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Der Regierungsrat des Kantons Zürich erliess am 7. März 2023 als Übergangsregelung die Verordnung über die Kleinsiedlungen ausserhalb der Bauzonen (VKaB; Dispositivziffer I) und setzte diese auf den 1. Juni 2023 in Kraft.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17. Januar 2024). Im Rahmen dieser Verordnung wird die Kleinsiedlung Hinteruttenberg in der Gemeinde Knonau in Anhang 1 aufgeführt und entsprechend eine provisorische kantonale Weilerzone für den Perimeter gemäss dem dazugehörigen Objektblatt festgesetzt. II. A. Der Erbengemeinschaft A, bestehend aus B, C und D, gehört das überbaute Grossgrundstück Kat.-Nr. 22 mit einer Fläche von über 5'400 m 2 im Perimeter der Kleinsiedlung Hinteruttenberg. Die Grundeigentümer fochten gemeinsam den regierungsrätlichen Beschluss vom 7. März 2023 beim Verwaltungsgericht an. Sie beantragten eine Änderung dieses Beschlusses in dem Umfang, dass die Kleinsiedlung Hinteruttenberg nicht in Anhang 1, sondern in Anhang 3 aufzuführen – und somit innerhalb der Bauzonen – zu belassen sei. Eventualiter sei der Regierungsrat einzuladen, eine entsprechende Anpassung vorzunehmen. In verfahrensmässiger Hinsicht ersuchten sie darum, die Verordnung sei erst nach Vornahme dieser Änderung in Kraft zu setzen. Ausserdem sei ein Augenschein durchzuführen. B. Die Baudirektion beantragte am 16. Mai 2023 unter Beilage eines Mitberichts des kantonalen Amts für Raumentwicklung (ARE) vom 15. Mai 2023, die Beschwerde unter Kostenfolge abzuweisen, soweit darauf einzutreten sei. In verfahrensmässiger Hinsicht stellte sie Antrag auf Entzug der aufschiebenden Wirkung der Beschwerde. In der Replik vom 15. Juni 2023 hielten die Beschwerdeführenden an ihren Begehren fest und sprachen sich gegen den Entzug der aufschiebenden Wirkung der Beschwerde aus. Mit Präsidialverfügung vom 11. Juli 2023 wies das Verwaltungsgericht das Gesuch des Beschwerdegegners um Entzug der aufschiebenden Wirkung der Beschwerde ab. Am 22. August 2023 liess sich die Baudirektion, wiederum unter Beilage eines Mitberichts des ARE vom 18. August 2023, nochmals zur Sache vernehmen. Den Beschwerdeführenden wurde Gelegenheit gegeben, sich innert erstreckter Frist bis zum 15. September 2023 dazu zu äussern. In der Folge ging von ihnen keine Eingabe in dieser Angelegenheit mehr ein. Die Kammer erwägt: 1. 1.1 Das Verwaltungsgericht ist gemäss § 41 Abs. 1 in Verbindung mit § 19 Abs. 1 des Verwaltungsrechtspflegegesetzes vom 24. Mai 1959 (VRG; LS 175.2) zuständige Instanz zur Überprüfung von Anordnungen, einschliesslich raumplanungsrechtlichen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1.2.1 Über Rechtsmittel gegen Erlasse entscheidet das Gericht in Fünferbesetzung (§ 38a Abs. 1 VRG), während es über solche gegen Anordnungen – unter Vorbehalt der Einzelrichterzuständigkeit (vgl. § 38b VRG) – in Dreierbesetzung befindet (§ 38 VRG).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Der angefochtene Beschluss schafft provisorische kantonale Zonenordnungen für bezeichnete Gebiete und enthält dazu Nutzungs- und Verfahrensregelungen. Er enthält übergreifende Festlegungen zum Siedlungstypus der Kleinsiedlungen und weist einen hybriden Charakter als Verordnung und gleichzeitig auch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des Bundesgesetzes vom 22. Juni 1979 über die Raumplanung (RPG; SR 700)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Im Raumplanungsrecht ist gemäss § 338a Abs. 1 des Planungs- und Baugesetzes vom 7. September 1975 (PBG; LS 700) zum Rekurs und zur Beschwerde berechtigt, wer durch die angefochtene Anordnung berührt ist und ein schutzwürdiges Interesse an deren Änderung oder Aufhebung hat. Die gleichen Legitimationsvoraussetzungen sieht § 49 in Verbindung mit § 21 Abs. 1 VRG vor. Die Beschwerdeführenden sind Eigentümer eines Grundstücks im Zonenperimeter der Kleinsiedlung und befugt, sich gegen den angefochtenen /Beschluss hinsichtlich dieser Parzelle zu wehren. Angesichts des Ausgangs des vorliegenden Verfahrens muss nicht erörtert werden, inwiefern die Beschwerdeführenden legitimiert sind, eine Aufhebung bzw. Änderung des angefochtenen Beschlusses für die ganze Kleinsiedlung, d. h. auch für Liegenschaften von Drittpersonen zu verlangen. 1.4 Unter dem soeben genannten Vorbehalt ist auf die Beschwerde einzutreten. Die übrigen Sachurteilsvoraussetzungen geben keinen Anlass zu Bemerkungen. 1.5 Soweit die Beschwerdeführenden die Durchführung eines Augenscheins beantragen, ist festzuhalten, dass sich ein solcher Lokaltermin erübrigt. Eine Pflicht zur Durchführung eines Augenscheins besteht nur dann, wenn die tatsächlichen Verhältnisse auf andere Weise nicht abgeklärt werden können. Der für den vorliegenden Entscheid rechtlich relevante Sachverhalt ergibt sich mit hinreichender Klarheit aus den Akten, weshalb auf einen Augenschein zu verzichten ist. 2. Der angefochtene Beschluss unterliegt, soweit er einen Nutzungsplan bildet (Art. 14 RPG; vgl. dazu oben E. 1.2),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VGr,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Dem Beschwerdegegner ist beizupflichten, dass eine zeitliche und sachliche Dringlichkeit für die Anordnung dieser Sicherungsmassnahme gegeben ist (vgl. auch Maja Saputelli, Kleinsiedlungen ausserhalb des Siedlungsgebiets, in: pbg-aktuell 2/2023, S. 7).</w:t>
      </w:r>
    </w:p>
    <w:p>
      <w:r>
        <w:rPr>
          <w:b/>
        </w:rPr>
        <w:t>E. 3.2</w:t>
      </w:r>
    </w:p>
    <w:p>
      <w:r>
        <w:t>Der angefochtene Beschluss stützt sich auf Art. 36 Abs. 2 RPG (vgl. oben E. 2) und erging somit im Rahmen einer Gesetzesdelegation. Im vorliegenden Zusammenhang muss nicht erörtert werden, ob die Rechtsstellung von betroffenen Grundeigentümern – wie der Beschwerdeführenden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Rahmen der Grundsatzgesetzgebungskompetenz des Bundes gemäss Art. 75 Abs. 1 BV;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Im Übrigen wird weder von den Beschwerdeführenden geltend gemacht noch ist ersichtlich, dass die kantonale Planungs- und Baugesetzgebung die Zuständigkeit für eine solche kantonsweite vorläufige Regelung einer anderen Behörde (als dem Regierungsrat) einräumt. Insoweit erweist sich Art. 36 Abs. 2 RPG ebenfalls als eingehalten. Ausserdem nimmt der angefochtene Beschluss die gebotenen Anpassungen weder bei den raumplanungsrechtlichen Gesetzesbestimmungen und des Richtplans auf kantonaler Ebene noch bei den Ortsplanungen auf kommunaler Ebene vorweg. Insgesamt wahrt der angefochtene Beschluss den Delegationsrahmen von Art. 36 Abs. 2 RPG.</w:t>
      </w:r>
    </w:p>
    <w:p>
      <w:r>
        <w:rPr>
          <w:b/>
        </w:rPr>
        <w:t>E. 3.3</w:t>
      </w:r>
    </w:p>
    <w:p>
      <w:r>
        <w:t>Die Beschwerdeführenden rügen, der Regierungsrat hätte eine Planungszone für alle Kleinsiedlungen im Kantonsgebiet anordnen müssen, um die Rechtsgleichheit zu wahren, anstatt die Kategorisierungen in der VKaB mit den drei Anhängen vorzunehmen. Es hält jedoch der gebotenen Überprüfung stand, dass der Regierungsrat nicht eine Planungszone für alle Kleinsiedlungen ausserhalb des grafischen Siedlungsgebiets des Richtplans angeordnet, sondern diese jeweils einzeln einer vorläufigen Zonenkategorie zugewiesen hat. Dadurch wird es aus Gründen der Rechtssicherheit unter anderem ermöglicht, einzelne dieser Kleinsiedlungen vorläufig als Baugebiet zu behandeln, die offensichtlich nicht im Konflikt zum Verbot von Kleinstbauzonen (vgl. BGE 118 Ia 446 E. 2c) stehen. Ein solches Vorgehen erweist sich grundsätzlich als nachvollziehbar. Hinzu kommt, dass die Zuteilung der Kleinsiedlung Hinteruttenberg zur provisorischen kantonalen Weilerzone im Ergebnis – auch im Quervergleich mit den von den Beschwerdeführenden angeführten Kleinsiedlungen in anderen Gemeinden (vgl. dazu unten E. 5.5) – nicht zu beanstanden ist.</w:t>
      </w:r>
    </w:p>
    <w:p>
      <w:r>
        <w:rPr>
          <w:b/>
        </w:rPr>
        <w:t>E. 3.4</w:t>
      </w:r>
    </w:p>
    <w:p>
      <w:r>
        <w:t>Weiter werfen die Beschwerdeführenden dem Regierungsrat eine "Haurückübung" vom Schreibtisch aus vor und wenden sich gegen das Absehen von einem Augenschein. Das Bundesgericht hat mit Bezug auf den Erlass der Kleinsiedlungsverordnung des Thurgauer Regierungsrats vom 12. Mai 2020 (RB TG 700.3) erwogen, dass die vorgängige Gewährung des rechtlichen Gehörs (Art. 29 Abs. 2 BV)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Aus dem Untersuchungsgrundsatz (§ 7 VRG) und dem Anspruch auf Akteneinsicht (§ 8 VRG) ergeben sich im vorliegenden Zusammenhang keine über Art. 29 Abs. 2 BV hinausgehenden Gehörsansprüche. Es ist auch nicht ersichtlich, dass die vorgenommenen kantonalen Sachverhaltsabklärungen bei den einzelnen Kleinsiedlungen gestützt auf das Geoinformationssystem (GIS), verschiedene staatliche Register und Datenbanken sowie Inventare wie das Kantonale Ortsbildinventar (KOBI) ungenügend wären. Es erweist sich deshalb nicht als rechtsverletzend, wenn der angefochtene Beschluss ohne zusätzliche Abklärungen vor Ort, wie einen Augenschein, und ohne vorgängige Anhörung der Beschwerdeführenden gefasst worden ist.</w:t>
      </w:r>
    </w:p>
    <w:p>
      <w:r>
        <w:rPr>
          <w:b/>
        </w:rPr>
        <w:t>E. 4.1</w:t>
      </w:r>
    </w:p>
    <w:p>
      <w:r>
        <w:t>Der angefochtene Beschluss weist keine allgemeine Regelung zu den Kriterien für die Zuweisung der Kleinsiedlungen zu den verschiedenen Anhängen auf. Dies bildet keinen Rechtsmangel. In der Begründung zum angefochtenen Beschluss wird zu Recht dargelegt, dass "Weilerzone" im Wesentlichen ein Begriff des Bundesrechts ist (vgl. auch Art. 33 RPV und BGr, 23. November 2022, 1C_35/2022, E. 4.1.1).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 Dokumentation übernimmt die Funktion eines Raumplanungsberichts nach Art. 47 RPV. Letzterer ist nicht Bestandteil des Nutzungsplans, sondern der zugehörigen Entscheidungsgrundlagen (Heinz Aemisegger/Samuel Kissling, in: Praxiskommentar RPG: Nutzungsplanung, Vorbemerkungen zur Nutzungsplanung N. 52).</w:t>
      </w:r>
    </w:p>
    <w:p>
      <w:r>
        <w:rPr>
          <w:b/>
        </w:rPr>
        <w:t>E. 4.2</w:t>
      </w:r>
    </w:p>
    <w:p>
      <w:r>
        <w:t>Im oben bei E. 4.1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werde als Zusatzkriterium die Prägung und das Erscheinungsbild herangezogen, um zu beurteilen, ob die Kleinsiedlung als Weiler oder als grösserer aussenliegender Ortsteil (bzw. als vorläufiges Baugebiet) qualifiziert werden könne. Weiter wurden nach dem Zwischenbericht Kleinsiedlungen mit mindestens zwanzig bewohnten Gebäuden ohne vertiefte Überprüfung dem vorläufigen Baugebiet zugeschlagen. Als Bezugsgrösse für die Zahl der Wohngebäude hat der Regierungsrat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Der Beschwerdegegner hat sich namentlich bei der Festlegung der Mindestanzahl von acht bewohnten Gebäuden in einer Kleinsiedlung für die Durchführung einer Einzelfallbeurteilung über das Vorliegen von vorläufigem Baugebiet an der weiter fortgeschrittenen Richtplananpassung zur Kleinsiedlungsanpassung im Kanton Thurgau orientiert.</w:t>
      </w:r>
    </w:p>
    <w:p>
      <w:r>
        <w:rPr>
          <w:b/>
        </w:rPr>
        <w:t>E. 4.3</w:t>
      </w:r>
    </w:p>
    <w:p>
      <w:r>
        <w:t>Der Regierungsrat hat im angefochtenen Beschluss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den Beschwerdeführenden verlangte Zuweisung zum vorläufigen Baugebiet ist also erforderlich, dass die umstrittenen Kleinsiedlungen die Voraussetzungen der Auffangregelung von Art. 36 Abs. 3 RPG erfüllen, d. h. zum weitgehend überbauten Gebiet gehören.</w:t>
      </w:r>
    </w:p>
    <w:p>
      <w:r>
        <w:rPr>
          <w:b/>
        </w:rPr>
        <w:t>E. 4.4</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4.5</w:t>
      </w:r>
    </w:p>
    <w:p>
      <w:r>
        <w:t>Gemäss Ziffer 3.1.b der in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mehr als 10, 12 oder 15 Wohnbauten automatisch die Voraussetzungen von Art. 15 RPG erfülle. Das Vorhandensein einer Siedlungsqualität bzw. Siedlungsstruktur und der dafür üblichen Infrastruktur bilden wichtige Kriterien für die Annahme von Baugebiet (vgl. BGr, 30. Oktober 2020, 1C_231/2019, E. 2.3). Der Regierungsrat hat die untere Schwelle für eine Einzelfallbeurteilung zur vorläufigen Baugebietszuweisung einer Kleinsiedlung bei mindestens acht bewohnten Gebäuden vor dem Hintergrund der angeführten Richtwerte der Arbeitshilfe des Bundesamts für Raumentwicklung und dem Verbot von Kleinstbauzonen (dazu oben E. 3.3) relativ tief angesetzt. Es ist aber nicht rechtsverletzend, wenn die qualitative Einzelfallbeurteilung einer Kleinsiedlung bei der Fallgruppe mit 8 bis 19 bewohnten Gebäuden anhand des oben bei E. 4.2 erwähnten Zusatzkriteriums der Prägung und des Erscheinungsbilds erfolgt. Dabei wurden die Unterkriterien Anzahl Landwirtschaftsbetriebe, Anzahl Gewerbebetriebe, Verhältnis von Wohngebäuden zu Nichtwohngebäuden/Ökonomiebauten, Neubauten seit 1972 (ohne Ersatzbauten) und deren Bauart, ÖV (öffentlicher Verkehr)-Erschliessung,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Gestützt auf die dargelegten Grundsätze bleibt im Folgenden die Einzelfallbeurteilung im Hinblick auf das Grundstück der Beschwerdeführenden zu überprüfen.</w:t>
      </w:r>
    </w:p>
    <w:p>
      <w:r>
        <w:rPr>
          <w:b/>
        </w:rPr>
        <w:t>E. 5.1</w:t>
      </w:r>
    </w:p>
    <w:p>
      <w:r>
        <w:t>Die Kleinsiedlung Hinteruttenberg ist auf einer Hügelkuppe in weitgehend unverbauter Umgebung nordwestlich des Ortskerns von Knonau und westlich der weiteren Kleinsiedlung Vorderuttenberg gelegen. Bei der Kreuzung der beiden zum kantonalen Strassennetz gehörenden Strassen Uttenbergstrasse und Maschwanderstrasse zweigt nach Westen ein Strässchen zu dieser Hügelkuppe ab. Die Bebauung der Kleinsiedlung ist an diesem Strässchen, entlang einer Wegschlaufe und eines davon ausgehenden Feldwegs angeordnet. Das Ortsbild von Hinteruttenberg ist im KOBI und im Bundesinventar der schützenswerten Ortsbilder der Schweiz von nationaler Bedeutung (ISOS) aufgeführt. Aus dem Ortsbildbeschrieb im KOBI ergibt sich, dass die Bausubstanz der bäuerlichen Kleinsiedlung aus dem 17. bis 19. Jahrhundert stammt. Weiter wird darauf hingewiesen, dass die Anordnung der Bauten entlang des Strässchens und der Wegschlaufe locker ist und die Grösse und Anordnung der Siedlung sich nur wenig von der Darstellung auf der Wildkarte von 1851 unterscheidet (AREV-Nr. 0594/18). Im ISOS-Beschrieb, der parallele Feststellungen enthält, wird darauf hingewiesen, dass im südwestlichen Teil der Kleinsiedlung Wohnhäuser stehen, die am Ende des 20. Jahrhunderts erstellt worden sind. Bei dem in den Akten liegenden Übersichtsplan wurden die bereits allgemein behandelten Beurteilungskriterien (vgl. oben E. 4.5) tabellarisch bewertet. Die Kleinsiedlung Hinteruttenberg enthält gemäss dem genannten Übersichtsplan 15 bewohnte Gebäude, wovon 8 Wohngebäude vor Anfang der Siebzigerjahre erbaut worden sind. Es sind vier Landwirtschaftsbetriebe und einige weitere Betriebe vorhanden. Das Siedlungsbild wurde als geschlossen und die Erschliessung als ausreichend für eine provisorische kantonale Weilerzone bewertet. Beim Zusatzkriterium Prägung und Erscheinungsbild wurde allerdings von einer ländlichen Prägung ausgegangen. Zusätzlich wurde die nahe bei der Kleinsiedlung gelegene Bushaltestelle (ÖV-Güteklasse F) einbezogen. Insgesamt wurde eine Zuweisung zur provisorischen kantonalen Weilerzone als zweckmässig erachtet.</w:t>
      </w:r>
    </w:p>
    <w:p>
      <w:r>
        <w:rPr>
          <w:b/>
        </w:rPr>
        <w:t>E. 5.2</w:t>
      </w:r>
    </w:p>
    <w:p>
      <w:r>
        <w:t>Die Beschwerdeführenden bestreiten nicht, dass bei der Kleinsiedlung 15 bewohnte Gebäude als relevant zu betrachten sind. Diese Zahl liege indessen näher bei der Obergrenze für eine provisorische kantonale Weilerzone von 20 Gebäuden als bei der Untergrenze von 8 Gebäuden. Zudem stellen die Beschwerdeführenden in Abrede, dass in der Kleinsiedlung noch ein aktiver Landwirtschaftsbetrieb vorhanden sein soll. Hinteruttenberg diene heute praktisch ausschliesslich der Wohnnutzung. Es gebe auch landwirtschaftsfremde Betriebe. Im Gesamtbild unter Einbezug der Umgebungsgestaltung präsentiere sich die Kleinsiedlung als Wohnzone bzw. Kleinbauzone mit fast schon reger Bautätigkeit. Es seien dort in den vergangenen Jahren grosse Mehrfamilienhäuser mit bis zu 7 Wohneinheiten bewilligt worden. Die verkehrsmässige Erschliessung der Kleinsiedlung erachten die Beschwerdeführenden mit der Anbindung an eine Kantonsstrasse und der Bushaltestelle als sehr gut. Die blosse landwirtschaftliche Vergangenheit der Siedlung könne keine entscheidende Rolle mehr spielen. Die Beschwerdeführenden weisen darauf hin, dass im Übersichtsplan angemerkt wird, die Kleinsiedlung weise auf der nördlichen Seite eine sehr landwirtschaftliche und ländliche Prägung auf. In der Beschwerdeschrift wird insofern eine Beziehung zum Grundstück der Beschwerdeführenden im Nordwesten der Kleinsiedlung hergestellt. Sie räumen ein, dass dieses noch nicht die gleiche bauliche Entwicklung wie etwa auch die benachbarten Parzellen im Südwesten mit den im ISOS erwähnten Neubauten erfahren habe. Ihr privates Interesse am Erhalt der Nutzbarkeit der ohnehin letzten Baulandreserve in der Siedlung auf ihrem Grundstück müsse bei einer Gesamtabwägung über die provisorische Zonenzuweisung überwiegen.</w:t>
      </w:r>
    </w:p>
    <w:p>
      <w:r>
        <w:rPr>
          <w:b/>
        </w:rPr>
        <w:t>E. 5.3</w:t>
      </w:r>
    </w:p>
    <w:p>
      <w:r>
        <w:t>Im Hinblick auf die Anzahl der bewohnten Gebäude bei der Kleinsiedlung, die für die Annahme eines Siedlungszusammenhangs relevant sind, ist darauf hinzuweisen, dass der Beschwerdegegner einen Gebäudeabstand zugrunde gelegt hat, der in der Regel nicht mehr als die Rufdistanz (20–30 m) betragen soll. Für diesen Massstab verweist der Zwischenbericht auf die oben in E. 4.5 erwähnte Arbeitshilfe des Bundesamts für Raumentwicklung. Im ISOS-Beschrieb wird auf das wenig vom Ort abgesetzte Gehöft Freudenberg (westlich des Perimeters) sowie auf ein Einfamilienhaus und eine Scheune am Hang unterhalb (südlich des Perimeters) eingegangen. Die im ISOS angesprochenen Bauten ausserhalb des Zonenperimeters liegen in einem Abstand von mehr als dem Doppelten der Rufdistanz zur Kleinsiedlung. Es ist somit nicht zu beanstanden, dass diese Bauten nicht bei der Anzahl bewohnter Gebäude berücksichtigt worden sind. Noch viel grösser sind die Distanzen zwischen Hinteruttenberg und der Bushaltestelle bei der Kreuzung zur Maschwander- und Uttenbergstrasse bzw. zwischen den beiden Kleinsiedlungen Vorder- und Hinteruttenberg. Es erweist sich als sachgerecht, dass Hinteruttenberg raumplanerisch getrennt beurteilt worden ist. Insgesamt bleibt es deshalb dabei, dass 15 bewohnte Gebäude als relevant für Hinteruttenberg zu betrachten sind. Folglich bewegt sich die Kleinsiedlung in dieser Hinsicht in einem Mittelbereich der Fallgruppe mit 8 bis 19 bewohnten Gebäuden. Soweit beim Übersichtsplan in den Bemerkungen noch Bezug auf die frühere Fassung des Kriterienkatalogs mit einer Mindestzahl von 13 bewohnten Gebäuden für eine Einzelfallbeurteilung genommen wird, erweist sich dieser Hinweis seit der Herabsetzung auf 8 solche Gebäude als überholt. Darauf braucht nicht weiter eingegangen zu werden.</w:t>
      </w:r>
    </w:p>
    <w:p>
      <w:r>
        <w:rPr>
          <w:b/>
        </w:rPr>
        <w:t>E. 5.4</w:t>
      </w:r>
    </w:p>
    <w:p>
      <w:r>
        <w:t>Der Beschwerdegegner hat vor Verwaltungsgericht eingeräumt, dass die Anzahl von Landwirtschaftsbetrieben in Hinteruttenberg beim Übersichtsplan zu hoch ausgefallen ist. Er macht nun geltend, aufgrund der Statistik der Unternehmensstruktur (STATENT) des Bundesamts für Statistik sei noch von einem aktiven Landwirtschaftsbetrieb in Hinteruttenberg auszugehen; drei solche Betriebe seien aufgegeben worden. Bei diesen nachträglichen Angaben lässt der Beschwerdegegner konkrete Anhaltspunkte für allfällige Betriebsstandorte vermissen. Letztlich kann offenbleiben, ob in Hinteruttenberg noch aktive Landwirtschaftsbetriebe vorhanden sind . Auch wenn heute Wohnnutzungen im Vordergrund stehen, wird die Siedlungsstruktur weiterhin durch den landwirtschaftlichen Charakter des Baubestands in der Kleinsiedlung geprägt. Aus dem KOBI und dem ISOS gehen die bestehenden, mindestens ursprünglich als Ökonomiebauten dienenden Gebäude in der Kleinsiedlung hervor. Der räumliche Grobumfang von Hinteruttenberg hat sich gemäss KOBI und ISOS seit dem ausgehenden 19. Jahrhundert nicht erheblich entwickelt. Immerhin hat eine gewisse bauliche Verdichtung stattgefunden. Aufgrund der öffentlich zugänglichen Daten im GWR weist rund ein Viertel der bewohnten Gebäude in Hinteruttenberg drei oder mehr Wohneinheiten auf. Es bestehen jedoch nur vereinzelt Wohngebäude mit deutlich mehr als drei Wohneinheiten. Das Bebauungsmuster der Kleinsiedlung ist weiterhin als locker zu bewerten. Inwiefern Baulandreserven auf anderen Parzellen im Perimeter vorhanden sind, muss nicht abgeklärt werden (vgl. oben E. 1.3). Die Kleinsiedlung wird gemäss ISOS und KOBI als Haufenbebauung charakterisiert. Dennoch zeigt sich bei genauerer Betrachtung des Übersichtsplans, dass die bewohnten Gebäude in der Kleinsiedlung v-förmig angeordnet sind. Selbst wenn der Beschwerdegegner ein geschlossenes Siedlungsbild angenommen hat, befinden sich die Gebäude mehrheitlich seitlich, bezogen auf die Strassenhauptachse, auch in Randlage. Das Grundstück der Beschwerdeführenden bildet auf der westlichen und der nördlichen Seite den Rand des Zonenperimeters. Auch die von ihnen angesprochene Baulandreserve auf ihrem Grundstück erstreckt sich in diesem Randbereich des Perimeters bzw. bei der im GWR als Ökonomiegebäude erfassten Baute Vers.-Nr. 248.</w:t>
      </w:r>
    </w:p>
    <w:p>
      <w:r>
        <w:rPr>
          <w:b/>
        </w:rPr>
        <w:t>E. 5.5.1</w:t>
      </w:r>
    </w:p>
    <w:p>
      <w:r>
        <w:t>Hinteruttenberg wird im ISOS anhand der Siedlungskategorien gemäss Art. 6 der Verordnung vom 13. November 2019 über das Bundesinventar der schützenswerten Ortsbilder der Schweiz (VISOS; SR 451.12) als Weiler (d. h. als historisch-bäuerliche Siedlung kleineren Ausmasses ohne nennenswerte zentrale Funktionen) geführt (vgl. Art. 6 lit. d und Anhang 1 VISOS). Dieser Qualifikation kommt hauptsächlich eine Tragweite für die konkreten Schutzziele beim Ortsbild zu. Im Hinblick auf die raumplanungsrechtliche Frage, ob die betroffene Kleinsiedlung dem weitgehend überbauten Gebiet im Sinn von Art. 36 Abs. 3 RPG zuzuordnen ist, ist eine eigenständige Gesamtbeurteilung vorzunehmen.</w:t>
      </w:r>
    </w:p>
    <w:p>
      <w:r>
        <w:rPr>
          <w:b/>
        </w:rPr>
        <w:t>E. 5.5.2</w:t>
      </w:r>
    </w:p>
    <w:p>
      <w:r>
        <w:t>Der ursprünglich landwirtschaftliche Charakter des Baubestands in der Kleinsiedlung fällt entgegen den Beschwerdeführenden weiterhin stark ins Gewicht. Gerade bei ihrem Grundstück ist es – unabhängig von der Frage, inwiefern dort noch Landwirtschaft betrieben wird – nachvollziehbar, wenn der Beschwerdegegner die landwirtschaftliche Prägung hervorgehoben hat. Es trifft zu, dass in der Kleinsiedlung heute Wohnnutzungen im Vordergrund stehen und einige neue Wohnbauten erstellt worden sind. Mit den Neubauten seit den Siebzigerjahren ist in der Kleinsiedlung allerdings lediglich eine relativ geringe Anzahl an Wohneinheiten hinzugekommen. Den geltend gemachten landwirtschaftsfremden gewerblichen Nutzungen kommt keine prägende Funktion für die Siedlungsstruktur zu. Die verkehrsmässige Infrastruktur erscheint trotz der nahegelegenen Bushaltestelle lediglich auf den bisherigen baulichen Bestand, hingegen nicht auf allgemeinen Siedlungsbau ausgerichtet. Diese Gesichtspunkte sprechen gegen das Vorliegen von weitgehend überbautem Gebiet im Sinn von Art. 36 Abs. 3 RPG. Mit der umstrittenen Zuteilung zur provisorischen kantonalen Weilerzone sind Neubauten auf der beschwerdeführerischen Parzelle grundsätzlich nicht zulässig (vgl. § 7 VKaB). Bereits die Schutzziele im KOBI-Beschrieb weisen aber auf die auch landschaftliche Empfindlichkeit des Randbereichs bei diesem Grundstück gegen Westen und die Talmulde mit dem Ried im Norden hin. Sie stellen die Vorgabe einer unüberbauten Erhaltung in der traditionellen Nutzung auf. Unter diesen Umständen stehen einer allfälligen baulichen Verdichtung auf dieser Parzelle auch Interessen des Ortsbild- und Landschaftsschutzes entgegen.</w:t>
      </w:r>
    </w:p>
    <w:p>
      <w:r>
        <w:rPr>
          <w:b/>
        </w:rPr>
        <w:t>E. 5.5.3</w:t>
      </w:r>
    </w:p>
    <w:p>
      <w:r>
        <w:t>Bei einer Abwägung der von den Beschwerdeführenden ins Feld geführten Interessen und entgegenstehenden plansichernden Interessen ist es unter Beachtung des dem Regierungsrat zustehenden planerischen Ermessens nicht zu beanstanden, dass dieser den plansichernden Interessen den Vorrang eingeräumt und das Grundstück der Beschwerdeführenden im Rahmen der Kleinsiedlung Hinteruttenberg einer provisorischen kantonalen Weilerzone zugeteilt hat.</w:t>
      </w:r>
    </w:p>
    <w:p>
      <w:r>
        <w:rPr>
          <w:b/>
        </w:rPr>
        <w:t>E. 5.6</w:t>
      </w:r>
    </w:p>
    <w:p>
      <w:r>
        <w:t>Von den Beschwerdeführenden wird eine Zuteilung zum vorläufigen Gebiet aus Gründen der Gleichbehandlung mit den Kleinsiedlungen Hermikon (Stadt Dübendorf), Schachen (Gemeinde Glattfelden) und Neuburg (Stadt Winterthur) beansprucht. Es trifft zu, dass diese drei Kleinsiedlungen dem Anhang 3 der VKaB und damit dem vorläufigen Baugebiet zugewiesen worden sind. Bei diesen drei Kleinsiedlungen, deren rechtskonforme Zuteilung vorliegend nicht zur Beurteilung steht, sind andere Verhältnisse gegeben als bei Hinteruttenberg: Bei der Kleinsiedlung Hermikon bestehen gemäss dem dazugehörigen Übersichtsplan 14 bewohnte Gebäude. Es gibt dafür mehrere Gewerbebetriebe bzw. entsprechende Bauten, die teilweise die Siedlung prägen. Die Kleinsiedlung Schachen zählt gemäss dem Übersichtsplan 18 bewohnte Gebäude, wobei die Wohnnutzung dominiert. Der Anteil bewohnter Gebäude mit drei oder mehr Wohneinheiten ist dort gemäss den Angaben im GWR deutlich höher als in Hinteruttenberg. Die Kleinsiedlung Neuburg ist im KOBI aufgeführt. Gemäss dem Übersichtsplan hat es dort 16 bewohnte Gebäude; es sind wenige Gewerbebetriebe vorhanden und die Wohnnutzungen stehen im Vordergrund. Gemäss dem KOBI-Beschrieb besteht an der Strassenkreuzung im Siedlungszentrum ein ausgeprägter Platzraum mit einem Wirtshaus und einem ehemaligen Schulhaus. Vor diesem Hintergrund können die Beschwerdeführenden aus der Berufung auf den Quervergleich mit diesen drei anderen Kleinsiedlungen nichts für sich ableiten.</w:t>
      </w:r>
    </w:p>
    <w:p>
      <w:r>
        <w:rPr>
          <w:b/>
        </w:rPr>
        <w:t>E. 5.7</w:t>
      </w:r>
    </w:p>
    <w:p>
      <w:r>
        <w:t>Zusammengefasst sind die Einwände der Beschwerdeführenden gegen die Einzelfallbeurteilung im angefochtenen Beschluss zu ihrem Grundstück bzw. zur Kleinsiedlung Hinteruttenberg unbegründet, soweit darauf einzutreten ist.</w:t>
      </w:r>
    </w:p>
    <w:p>
      <w:r>
        <w:rPr>
          <w:b/>
        </w:rPr>
        <w:t>E. 6</w:t>
      </w:r>
    </w:p>
    <w:p>
      <w:r>
        <w:t>Am 1. Dezember 2023 wurde die öffentliche Auflage zur Teilrevision des kantonalen Richtplans und zur damit verbundenen PBG-Teilrevision im Hinblick auf die Kleinsiedlungsthematik im kantonalen Amtsblatt publiziert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 Hinteruttenberg als grösseren aussenliegenden Ortsteil und somit als Siedlungsgebiet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oben E. 4), wird durch allenfalls davon abweichende Anträge für die künftige Anpassung der Richtplanung nicht infrage gestellt. Im vorliegenden Zusammenhang braucht daher nicht weitergehend auf die am 1. Dezember 2023 aufgelegte Vorlage eingegangen zu werden.</w:t>
      </w:r>
    </w:p>
    <w:p>
      <w:r>
        <w:rPr>
          <w:b/>
        </w:rPr>
        <w:t>E. 7</w:t>
      </w:r>
    </w:p>
    <w:p>
      <w:r>
        <w:t>Nach dem Gesagten erweist sich die Beschwerde als unbegründet und ist abzuweisen, soweit darauf einzutreten ist. Ausgangsgemäss sind die Gerichtskosten den Beschwerdeführenden unter solidarischer Haftung aufzuerlegen (§ 65a Abs. 2 in Verbindung mit § 13 Abs. 2 sowie § 14 VRG). Eine Parteientschädigung steht ihnen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