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AN.2023.00003 vom 14. März 2008</w:t>
      </w:r>
    </w:p>
    <w:p>
      <w:r>
        <w:t>ZH Verwaltungsgericht, 2008-03-14, DE</w:t>
      </w:r>
    </w:p>
    <w:p>
      <w:r>
        <w:rPr>
          <w:b/>
        </w:rPr>
        <w:t xml:space="preserve">Quelle: </w:t>
      </w:r>
      <w:r>
        <w:t>https://mcp.opencaselaw.ch/entscheid/zh_verwaltungsgericht__AN.2023.00003</w:t>
      </w:r>
    </w:p>
    <w:p>
      <w:r>
        <w:t>FR: ZH_VERWALTUNGSGERICHT AN.2023.00003 du 14 mars 2008</w:t>
      </w:r>
    </w:p>
    <w:p>
      <w:r>
        <w:t>IT: ZH_VERWALTUNGSGERICHT AN.2023.00003 del 14 marzo 2008</w:t>
      </w:r>
    </w:p>
    <w:p>
      <w:pPr>
        <w:pStyle w:val="Heading2"/>
      </w:pPr>
      <w:r>
        <w:t>Regeste</w:t>
      </w:r>
    </w:p>
    <w:p>
      <w:r>
        <w:t>Verordnung über die Kleinsiedlungen ausserhalb der Bauzonen | [Verordnung über die Kleinsiedlungen ausserhalb der Bauzonen.] Die Kleinsiedlung Langstuck in der Gemeinde Altikon war bisher der (Weiler-)Kernzone zugeordnet. Der übrige Teil des im Eigentum des Beschwerdeführers stehenden Grundstückes befand und befindet sich in der kantonalen Landwirtschaftszone. Im angefochtenen regierungsrätlichen Beschluss wurde die Kleinsiedlung Langstuck als provisorische kantonale Landwirtschaftszone festgesetzt (Sachverhalt II.A). Das Beschwerdeverfahren richtet sich nach den Bestimmungen über die Einzelaktanfechtung (E. 1.1). Die Rügen des Beschwerdeführers sind relativ pauschal gehalten, angesichts der Komplexität der Materie erfüllen sie indes die Begründungsanforderungen an Laienbeschwerden noch knapp (E. 1.3). Das Legalitätsprinzip und der Grundsatz der Gewaltenteilung werden durch den angefochtenen Beschluss nicht verletzt (E. 3). Der Beschwerdeführer hat nicht dargetan, weshalb die Kleinsiedlung Langstuck in der Bauzone zu belassen sei, obschon sie lediglich ein bewohntes Gebäude umfasst. Eine solche Zuordnung käme allenfalls als "Bauzonenanschluss" in Frage, wenn die Kleinsiedlung einen Bezug zu einer angrenzenden Bauzone im Siedlungsgebiet aufweisen würde. Das ist indes nicht der Fall. Obwohl der Kernzonenplan der Gemeinde Altikon im Jahr 2016 revidiert wurde, vermögen auch die Gesichtspunkte des Vertrauensschutzes und der Planbeständigkeit den wenig ausgeprägten Charakter von Langstuck als Siedlungsgebiet nicht aufzuwiegen. Zumindest im Rahmen der angefochtenen Übergangsordnung kommt der Einstufung als grundsätzliches Nichtbaugebiet Vorrang zu (E. 4.2). Die Auseinandersetzung über Entschädigungsfolgen von planungs- und baurechtlichen Massnahmen erfolgt erst, wenn rechtskräftig über deren Zulässigkeit entschieden ist (E. 4.4.2). Abweisung der Beschwerde.</w:t>
      </w:r>
    </w:p>
    <w:p>
      <w:pPr>
        <w:pStyle w:val="Heading2"/>
      </w:pPr>
      <w:r>
        <w:t>Erwägungen</w:t>
      </w:r>
    </w:p>
    <w:p>
      <w:r>
        <w:rPr>
          <w:b/>
        </w:rPr>
        <w:t>E. 3</w:t>
      </w:r>
    </w:p>
    <w:p>
      <w:r>
        <w:t>Abteilung AN.2023.00003 Urteil der 3. Kammer vom 27. Februar 2025 Mitwirkend: Abteilungspräsident André Moser (Vorsitz), Verwaltungsrichter Daniel Schweikert, Verwaltungsrichter Franz Kessler Coendet, Gerichtsschreiber Samuel Boller. In Sachen A, Beschwerdeführer,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Sie erarbeitete eine Vernehmlassungsvorlage zu einer Übergangsregelung zu den Kleinsiedlungen ausserhalb der Bauzonen. Die Vernehmlassungsfrist dauerte vom 22. August bis zum 23. September 2023.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16. Januar 2025). II. A. A ist Eigentümer des Grundstücks Kataster Nr. 01 in der Gemeinde Altikon und des darauf befindlichen Wohnhauses Assek Nr. 02, welches als Kleinsiedlung "Langstuck" bisher der (Weiler-)Kernzone zugeordnet war. Der übrige Teil des genannten Grundstücks befand und befindet sich in der kantonalen Landwirtschaftszone. Gemäss dem regierungsrätlichen Beschluss vom 7. März 2023 wurde die Kleinsiedlung Langstuck als provisorische kantonale Landwirtschaftszone gemäss Anhang 2 VKaB festgesetzt. B. A erhob am 12. April 2023 Beschwerde am Verwaltungsgericht. Er beantragte sinngemäss, dass die Kleinsiedlung Langstuck nicht im Anhang 2, sondern im Anhang 3 der VKaB aufzuführen und somit innerhalb der Bauzone zu belassen sei. C. Die Baudirektion ersuchte am 16. Mai 2023, unter Beilage eines Mitberichts des kantonalen Amts für Raumentwicklung (ARE) vom 15. Mai 2023, die Beschwerde abzuweisen, soweit darauf einzutreten sei. In verfahrensmässiger Hinsicht stellte sie Antrag auf Entzug der aufschiebenden Wirkung der Beschwerde. Mit Präsidialverfügung vom 11. Juli 2023 wies das Verwaltungsgericht das Gesuch des Beschwerdegegners um Entzug der aufschiebenden Wirkung der Beschwerde ab. Die Kammer erwägt: 1. 1.1 Das Verwaltungsgericht ist für die Behandlung der vorliegenden Beschwerde nach § 41 Abs. 1 in Verbindung mit § 19 Abs. 1 und Abs. 2 lit. a des Verwaltungsrechtspflegegesetzes vom 24. Mai 1959 (VRG; LS 175.2) zuständig. Im Hinblick auf die Besetzung des Gerichts (vgl. § 38 und § 38a VRG) ist über die Rechtsnatur des angefochtenen Beschlusses als Erlass (§ 19 Abs. 1 lit. d VRG) oder (raumplanungsrechtliche) Anordnung (§ 19 Abs. 1 lit. a VRG) zu befinden. Zwar enthält der angefochtene Beschluss übergreifende Festlegungen zum Siedlungstypus der Kleinsiedlungen und weist einen hybriden Charakter als Verordnung und gleichzeitig auch vorläufige Zonenordnung auf. Diese Regelung betrifft aber hauptsächlich die Schaffung der provisorischen kantonalen Zonenordnungen (Weilerzonen und Landwirtschaftszonen) mit verbindlichen Nutzungsvorschriften. Insgesamt ist der angefochtene Beschluss prozessual nicht als Erlass im Sinn von § 19 Abs. 1 lit. d VRG, sondern als Nutzungsplan im Sinn von Art. 14 des Raumplanungsgesetzes vom 22. Juni 1979 (RPG; SR 700) und damit als Anordnung im Sinn von § 19 Abs. 1 lit. a VRG zu behandeln. Das Rechtsmittelverfahren richtet sich somit nach den Bestimmungen über die Anfechtung von Einzelakten. Deshalb hat das Verwaltungsgericht vorliegend in Dreierbesetzung zu entscheiden (vgl. VGr, 7. Dezember 2023, AN.2023.00014, E. 1.2.3 = BEZ 2024 Nr. 7). 1.2 Im Raumplanungsrecht ist gemäss § 338a Abs. 1 des Planungs- und Baugesetzes vom 7. September 1975 (PBG; LS 700) zum Rekurs und zur Beschwerde berechtigt, wer durch die angefochtene Anordnung berührt ist und ein schutzwürdiges Interesse an deren Änderung oder Aufhebung hat. Die gleichen Legitimationsvoraussetzungen sieht § 49 in Verbindung mit § 21 Abs. 1 VRG vor. Der Beschwerdeführer ist Eigentümer des gesamten im Zonenperimeter der Kleinsiedlung stehenden Grundstücksteils und befugt, sich gegen den angefochtenen Beschluss hinsichtlich dieser Parzelle zu wehren. 1.3 Gemäss § 54 Abs. 1 VRG muss die Beschwerdeschrift einen Antrag und eine Begründung enthalten. Bei juristischen Laien werden keine hohen Anforderungen an die Begründung gestellt; diese muss immerhin sachbezogen sein und wenigstens im Ansatz erkennen lassen, in welchen Punkten und weshalb die beanstandete Verfügung angefochten wird (Alain Griffel in: derselbe [Hrsg.], Kommentar zum Verwaltungsrechtspflegegesetz des Kantons Zürich [VRG], 3. A., Zürich etc. 2014 [Kommentar VRG], § 23 N. 17; vgl. VGr, 21. Januar 2016, VB.2015.00393, E. 2.3; 4. April 2013, VB.2013.00004, E. 1.3). Der unvertretene Beschwerdeführer führte in seiner Beschwerdeschrift aus, er sei erstaunt und empört, dass seine Liegenschaft von der Kernzone in die Landwirtschaftszone umgezont worden sei. Er wehre sich vehement gegen diesen Beschluss, entstehe doch dadurch eine erhebliche Wertverminderung und würden eventuelle spätere Bauvorhaben erheblich eingeschränkt oder gar verunmöglicht. Damit zweifelt der Beschwerdeführer implizit die Rechtmässigkeit der durch den Regierungsrat vorgenommenen Zonenfestsetzung an und verlangt deren Überprüfung. Dem Beschwerdegegner ist darin zuzustimmen, dass die Rügen des Beschwerdeführers relativ pauschal gehalten sind. Angesichts der Komplexität der Materie erfüllen sie indes die Begründungsanforderungen an Laienbeschwerden noch knapp. 1.4 Da auch die übrigen Sachurteilsvoraussetzungen erfüllt sind, ist auf die Beschwerde einzutreten. 2.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Das Gericht soll nur aus triftigen Gründen von der Beurteilung durch die zuständige Fachinstanz abweichen und nicht sein Ermessen an die Stelle des Ermessens des Planungsträgers setzen (zum Ganzen VGr, 7. Dezember 2023, AN.2023.00014, E. 2 mit weiteren Hinweisen).</w:t>
      </w:r>
    </w:p>
    <w:p>
      <w:r>
        <w:rPr>
          <w:b/>
        </w:rPr>
        <w:t>E. 3.1</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(vgl. oben E. 2) und erging somit im Rahmen einer Gesetzesdelegation. Im vorliegenden Zusammenhang muss nicht erörtert werden, ob die Rechtsstellung von betroffenen Grundeigentümern – wie des Beschwerdeführers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Bundesverfassung der Schweizerischen Eidgenossenschaft vom 18. April 1999 (BV; SR 101);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Im Übrigen wird weder vom Beschwerdeführer geltend gemacht noch ist ersichtlich, dass die kantonale Planungs- und Baugesetzgebung die Zuständigkeit für eine solche kantonsweite vorläufige Regelung einer anderen Behörde (als dem Regierungsrat) einräumt. Insoweit erweist sich Art. 36 Abs. 2 RPG ebenfalls als eingehalten. Ausserdem nimmt der angefochtene Beschluss die gebotenen Anpassungen weder bei den raumplanungsrechtlichen Gesetzesbestimmungen und des Richtplans auf kantonaler Ebene noch bei den Ortsplanungen auf kommunaler Ebene vorweg. Insgesamt wahrt der angefochtene Beschluss den Delegationsrahmen von Art. 36 Abs. 2 RPG (zum Ganzen: VGr, 25. Januar 2024, AN.2023.00007, E. 3.2).</w:t>
      </w:r>
    </w:p>
    <w:p>
      <w:r>
        <w:rPr>
          <w:b/>
        </w:rPr>
        <w:t>E. 3.2</w:t>
      </w:r>
    </w:p>
    <w:p>
      <w:r>
        <w:t>Unter dem Blickwinkel des Grundsatzes der Gewaltenteilung (Art. 3 in Verbindung mit Art. 38 der Verfassung des Kantons Zürich vom 27. Februar 2005 [KV; LS 101]) und des Legalitätsprinzips (Art. 5 Abs. 1 BV bzw. Art. 2 Abs. 1 KV) ist es ebenfalls nicht zu beanstanden, dass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Dieser Zwischenbericht mit der Funktion eines Raumplanungsberichts nach Art. 47 RPV ist nicht Bestandteil des Nutzungsplans, sondern der zugehörigen Entscheidungsgrundlagen (zum Ganzen BEZ 2024 Nr. 7 E. 5.6). Es hält auch vor dem Legalitätsprinzip stand, wenn der Regierungsrat die provisorische Zonenfestsetzung im Einzelfall gestützt auf die als Vermutung bezeichnete vorläufige Bewertung der Kleinsiedlung getroffen hat. Damit hat er seine Entscheidungsbefugnis inhaltlich genügend wahrgenommen (VGr, 24. Oktober 2024, AN.2023.00010, E. 5.2).</w:t>
      </w:r>
    </w:p>
    <w:p>
      <w:r>
        <w:rPr>
          <w:b/>
        </w:rPr>
        <w:t>E. 4.1</w:t>
      </w:r>
    </w:p>
    <w:p>
      <w:r>
        <w:t>Die Kleinsiedlung Langstuck besteht unbestrittenermassen ausschliesslich aus einem bewohnten Gebäude. Für die Zuteilung in eine vorläufige Weilerzone setzte der Beschwerdegegner unter anderem mindestens fünf bewohnte Gebäude voraus. Die untere Schwelle von fünf bewohnten Gebäuden für eine vorläufige Weilerzone ergibt sich aus dem Bundesrecht bzw. aus der Rechtsprechung zu Art. 33 RPV (vgl. BGr, 23. November 2022, 1C_35/2022, E. 4.1.1) und ist im vorliegenden Zusammenhang nicht zu beanstanden (BEZ 2024 Nr. 7 E. 6.3). Eine Kleinsiedlung mit mindestens acht bewohnten Gebäuden wird sodann nicht automatisch als vorläufiges Baugebiet qualifiziert, sondern es wird im Rahmen von Art. 36 Abs. 2 RPG dafür eine Einzelfallbeurteilung anhand von Zusatzkriterien zur Siedlungsqualität bzw. Siedlungsstruktur und der dafür üblichen Infrastruktur angestellt. Auch dies ist nicht rechtsverletzend (BEZ 2024 Nr. 7 E. 6.4). Für die vom Beschwerdeführer verlangte Zuweisung zum vorläufigen Baugebiet wäre erforderlich, dass die umstrittene Kleinsiedlung die Voraussetzungen von Art. 36 Abs. 3 RPG erfüllt, d. h. zum weitgehend überbauten Gebiet gehört. 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VGr, 25. Januar 2024, AN.2023.00007, E. 4.4).</w:t>
      </w:r>
    </w:p>
    <w:p>
      <w:r>
        <w:rPr>
          <w:b/>
        </w:rPr>
        <w:t>E. 4.2</w:t>
      </w:r>
    </w:p>
    <w:p>
      <w:r>
        <w:t>Der Beschwerdeführer hat nicht dargetan, weshalb die Kleinsiedlung Langstuck in der Bauzone zu belassen sei, obschon sie lediglich ein bewohntes Gebäude umfasst. Eine solche Zuordnung käme gemäss den Beurteilungskriterien im Zwischenbericht allenfalls als "Bauzonenanschluss" in Frage, wenn die Kleinsiedlung einen Bezug zu einer angrenzenden Bauzone im Siedlungsgebiet aufweisen würde. Das ist indes nicht der Fall. Die Distanz bis zum nächsten bewohnten Gebäude im benachbarten Weiler Unterherten beträgt 65 m. Dieser Abstand überschreitet deutlich den Richtwert von 20 bis 30 Metern (Rufdistanz) für die Annahme eines Siedlungszusammenhangs. Auch funktional ist weder geltend gemacht noch ersichtlich, inwiefern Langstuck einen erheblichen Bezug zum Siedlungsgebiet aufweist. Die grundsätzliche Zulässigkeit des Instruments des Bauzonenanschlusses braucht deshalb hier nicht geprüft zu werden. Im Übrigen wurde zwar die Ortsplanung der Gemeinde Altikon im Jahr 2016 revidiert. Namentlich stammt der betroffene Kernzonenplan aus dem Jahr 2016 und ist damit jünger als der Richtplan von 2015. Obwohl bei dieser Sachlage Gesichtspunkten des Vertrauensschutzes und der Planbeständigkeit ein hohes Gewicht zukommt (BEZ 2024 Nr. 7 E. 6.2), vermögen diese den wenig ausgeprägten Charakter von Langstuck als Siedlungsgebiet nicht aufzuwiegen. Vor diesem Hintergrund ändert der bisherige kommunale Nutzungsplan nichts daran, dass für die Kleinsiedlung Langstuck bei objektiver Betrachtung keine begründete Erwartung einer Qualität als Siedlungsgebiet anzunehmen ist (vgl. dazu BGE 132 II 218 E. 6.1). Zumindest im Rahmen der angefochtenen Übergangsordnung kommt der Einstufung als grundsätzliches Nichtbaugebiet Vorrang zu (vgl. dazu VGr, 7. Dezember 2023, AN.2023.00015, E. 8.5 und 9.5).</w:t>
      </w:r>
    </w:p>
    <w:p>
      <w:r>
        <w:rPr>
          <w:b/>
        </w:rPr>
        <w:t>E. 4.3</w:t>
      </w:r>
    </w:p>
    <w:p>
      <w:r>
        <w:t>Nach dem Gesagten ist nicht anzunehmen, dass Langstuck sinnvollerweise einzig zur kantonalen Weilerzone oder gar zu einer Bauzone zugewiesen werden kann. Im Rahmen des dem Regierungsrat zustehenden planerischen Ermessens erschien es als sachgerecht, diese Kleinsiedlung der provisorischen kantonalen Landwirtschaftszone zuzurechnen.</w:t>
      </w:r>
    </w:p>
    <w:p>
      <w:r>
        <w:rPr>
          <w:b/>
        </w:rPr>
        <w:t>E. 4.4.1</w:t>
      </w:r>
    </w:p>
    <w:p>
      <w:r>
        <w:t>Der Beschwerdeführer moniert eine erhebliche Wertminderung seiner Liegenschaft durch die Verunmöglichung späterer eventueller Bauvorhaben und stellt die zukünftige Geltendmachung von Entschädigungsansprüchen in Aussicht.</w:t>
      </w:r>
    </w:p>
    <w:p>
      <w:r>
        <w:rPr>
          <w:b/>
        </w:rPr>
        <w:t>E. 4.4.2</w:t>
      </w:r>
    </w:p>
    <w:p>
      <w:r>
        <w:t>In Konstellationen, in denen sich die Frage stellt, ob eine öffentlich-rechtliche Eigentumsbeschränkung (hier in Form der Festsetzung als provisorische kantonale Landwirtschaftszone) eine Entschädigungspflicht nach sich zieht, gilt im Wesentlichen ein Verfahrensdualismus: Im Rahmen eines wie vorliegend gegen die Festsetzung der Zone gerichteten Verfahrens stellt sich nur die Frage, ob der Eingriff in die Bestandesgarantie der Eigentumsgarantie gerechtfertigt ist. Unter diesem Titel ist daher zu prüfen, wie weit diese Einschränkungen gehen, ob sie notwendig und erforderlich sind. Ob die einmal festgesetzte Eigentumsbeschränkung zu entschädigen ist, ist hingegen in einem separaten Verfahren zu prüfen. Die Auseinandersetzung über Entschädigungsfolgen von planungs- und baurechtlichen Massnahmen erfolgt erst, wenn rechtskräftig über die Zulässigkeit dieser Massnahmen entschieden ist (VGr, 9. Juli 2020, VB.2019.00728, E. 4.1).</w:t>
      </w:r>
    </w:p>
    <w:p>
      <w:r>
        <w:rPr>
          <w:b/>
        </w:rPr>
        <w:t>E. 4.4.3</w:t>
      </w:r>
    </w:p>
    <w:p>
      <w:r>
        <w:t>Die vorliegende Festlegung eines provisorischen kantonalen Nutzungsplans stellt eine vorläufige Regelung im Sinn von Art. 36 Abs. 2 RPG dar (vgl. oben, E. 2), die weiter geht als die dort beispielhaft genannte Bestimmung von Planungszonen (oben, E. 3.2). Letztere stellen nach der bundesgerichtlichen Rechtsprechung sachlich und zeitlich beschränkte Eigentumsbeschränkungen dar, die in der Regel keine Entschädigungspflicht nach sich ziehen (BGr, 14. März 2008, 1C_317/2007, E. 2; BGE 109 Ib 20 E. 4a S. 22 f.). Wie es sich damit vorliegend verhält, kann und muss derzeit offenbleiben (vgl. oben, E. 4.4.2). Jedenfalls ist ein allfälliger Eingriff in die Bestandesgarantie der Eigentumsgarantie mit Blick auf die erheblichen plansichernden Interessen des Beschwerdegegners ohne Weiteres verhältnismässig. Dies umso mehr, als der Beschwerdeführer kein konkretes Bauvorhaben benennt, das er hätte zurückstellen müssen.</w:t>
      </w:r>
    </w:p>
    <w:p>
      <w:r>
        <w:rPr>
          <w:b/>
        </w:rPr>
        <w:t>E. 5</w:t>
      </w:r>
    </w:p>
    <w:p>
      <w:r>
        <w:t>Zusammengefasst erweist sich die Beschwerde als unbegründet und ist abzuweisen. Ausgangsgemäss sind die Gerichtskosten dem Beschwerdeführer aufzuerlegen; eine Umtriebsentschädigung wurde von ihm nicht beantragt und stünde ihm auch nicht zu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