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AN.2021.00028 vom 12. Januar 2022</w:t>
      </w:r>
    </w:p>
    <w:p>
      <w:r>
        <w:t>ZH Verwaltungsgericht, 2022-01-12, DE</w:t>
      </w:r>
    </w:p>
    <w:p>
      <w:r>
        <w:rPr>
          <w:b/>
        </w:rPr>
        <w:t xml:space="preserve">Quelle: </w:t>
      </w:r>
      <w:r>
        <w:t>https://mcp.opencaselaw.ch/entscheid/zh_verwaltungsgericht__AN.2021.00028</w:t>
      </w:r>
    </w:p>
    <w:p>
      <w:r>
        <w:t>FR: ZH_VERWALTUNGSGERICHT AN.2021.00028 du 12 janvier 2022</w:t>
      </w:r>
    </w:p>
    <w:p>
      <w:r>
        <w:t>IT: ZH_VERWALTUNGSGERICHT AN.2021.00028 del 12 gennaio 2022</w:t>
      </w:r>
    </w:p>
    <w:p>
      <w:pPr>
        <w:pStyle w:val="Heading2"/>
      </w:pPr>
      <w:r>
        <w:t>Regeste</w:t>
      </w:r>
    </w:p>
    <w:p>
      <w:r>
        <w:t>Covid-Zertifikatspflicht/aufschiebende Wirkung | Das Verfahren ist als gegenstandslos geworden abzuschreiben, da es den Beschwerdeführenden aufgrund der bundesrätlichen Anordnung einer Covid-19-Zertifikatspflicht für Hochschulen zur Anfechtung des streitgegenständlichen Zwischenentscheids der Vorsitzenden der Vorinstanz betreffend den Entzug der aufschiebenden Wirkung ihres Rekurses an einem aktuellen Rechtsschutzinteresse fehlt (E. 2). Abschreibung als gegenstandslos geworden.</w:t>
      </w:r>
    </w:p>
    <w:p>
      <w:pPr>
        <w:pStyle w:val="Heading2"/>
      </w:pPr>
      <w:r>
        <w:t>Erwägungen</w:t>
      </w:r>
    </w:p>
    <w:p>
      <w:r>
        <w:rPr>
          <w:b/>
        </w:rPr>
        <w:t>E. 4</w:t>
      </w:r>
    </w:p>
    <w:p>
      <w:r>
        <w:t>Zur Rechtsmittelbelehrung des nachfolgenden Urteilsdispositivs ist Folgendes zu erläutern: Da die hier angefochtene prozessleitende Verfügung der Vorinstanz vom 21. Oktober 2021 einen Zwischenentscheid darstellt, ist das vorliegende Urteil ebenfalls ein solcher (Bertschi, § 19a N. 32).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