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AN.2017.00001 vom 22. November 2017</w:t>
      </w:r>
    </w:p>
    <w:p>
      <w:r>
        <w:t>ZH Verwaltungsgericht, 2017-11-22, DE</w:t>
      </w:r>
    </w:p>
    <w:p>
      <w:r>
        <w:rPr>
          <w:b/>
        </w:rPr>
        <w:t xml:space="preserve">Quelle: </w:t>
      </w:r>
      <w:r>
        <w:t>https://mcp.opencaselaw.ch/entscheid/zh_verwaltungsgericht__AN.2017.00001</w:t>
      </w:r>
    </w:p>
    <w:p>
      <w:r>
        <w:t>FR: ZH_VERWALTUNGSGERICHT AN.2017.00001 du 22 novembre 2017</w:t>
      </w:r>
    </w:p>
    <w:p>
      <w:r>
        <w:t>IT: ZH_VERWALTUNGSGERICHT AN.2017.00001 del 22 novembre 2017</w:t>
      </w:r>
    </w:p>
    <w:p>
      <w:pPr>
        <w:pStyle w:val="Heading2"/>
      </w:pPr>
      <w:r>
        <w:t>Regeste</w:t>
      </w:r>
    </w:p>
    <w:p>
      <w:r>
        <w:t>Vereinsunterstützungsverordnung vom 16. März 2017 | Die Eintretensvoraussetzungen sind von Amts wegen zu prüfen. In den vorinstanzlichen Akten befindet sich weder die angefochtene Verordnung noch der entsprechende Beschluss der Gemeindeversammlung. Ebenso bleibt unklar, ob die Verordnung im Sinn von § 10 Abs. 2 VRG publiziert wurde. Der Bezirksrat Bülach hat damit die Eintretensvoraussetzungen nicht hinreichend abgeklärt. Für eine allfällige materielle Beurteilung des Rekurses sind zudem die Gesetzesmaterialien und allenfalls mit der strittigen Verordnung zusammenhängende weitere Rechtserlasse der Gemeinde beizuziehen (E. 3). Neben der Staatsgebühr sind die Schreibgebühr sowie Porto- und Barauslagen separat auszuweisen; die Auflage pauschaler Verfahrenskosten ist nicht zulässig (E. 4). Teilweise Gutheissung und Rückweisung.</w:t>
      </w:r>
    </w:p>
    <w:p>
      <w:pPr>
        <w:pStyle w:val="Heading2"/>
      </w:pPr>
      <w:r>
        <w:t>Erwägungen</w:t>
      </w:r>
    </w:p>
    <w:p>
      <w:r>
        <w:rPr>
          <w:b/>
        </w:rPr>
        <w:t>E. 4</w:t>
      </w:r>
    </w:p>
    <w:p>
      <w:r>
        <w:t>Der Beschwerdeführer rügt sodann, die Vorinstanz habe die Rekurskosten zu Unrecht pauschal festgesetzt. Für Bezirksräte richtet sich die Gebührenerhebung nach der Gebührenordnung für die Verwaltungsbehörden vom 30. Juni 1966 (GebührenO, LS 682; vgl. auch § 13 Abs. 1 Satz 2 VRG). Gemäss §§ 5 und 7 GebührenO bestehen die Verfahrenskosten aus einer Staatsgebühr von Fr. 50.- bis Fr. 4'000.-, Schreibgebühren mit klar festgelegter Höhe sowie Porto- und Barauslagen. Wo dies nicht anders bestimmt ist, soll die Schreibgebühr nebst Porto- und Barauslagen zur Staatsgebühr hinzugerechnet werden (§ 7 Abs. 4 GebührenO). Die Gebührenordnung unterscheidet damit zwischen der Staatsgebühr, den Schreibgebühren sowie Porto- und Barauslagen. Während bei der Festsetzung der Staatsgebühr ein Ermessensspielraum besteht (vgl. VGr, 18. November 2010, VB.2010.00450, E. 3.1), in den das Verwaltungsgericht nicht eingreifen darf (§ 50 in Verbindung mit § 20 Abs. 1 VRG), ist die Berechnung der Schreibgebühren detailliert vorgeschrieben und vom Verwaltungsgericht mit voller Kognition zu prüfen. Die von der Vorinstanz praktizierte Pauschalierung der Gerichtsgebühr widerspricht der in der Gebührenordnung vorgesehenen Differen­zierung der einzelnen Gebühren und verhindert eine sachgemässe Überprüfung durch das Verwaltungsgericht. Sie erweist sich damit als rechtswidrig, weshalb die Vorinstanz gehalten ist, im neuen Entscheid die Staatsgebühr, die Schreibgebühr sowie Porto- und Barauslagen separat auszuweisen.</w:t>
      </w:r>
    </w:p>
    <w:p>
      <w:r>
        <w:rPr>
          <w:b/>
        </w:rPr>
        <w:t>E. 5</w:t>
      </w:r>
    </w:p>
    <w:p>
      <w:r>
        <w:t>Nach dem Gesagten ist der Rekursentscheid in teilweiser Gutheissung der Beschwerde aufzuheben und die Angelegenheit im Sinn der Erwägungen an die Vorinstanz zurückzuweisen.</w:t>
      </w:r>
    </w:p>
    <w:p>
      <w:r>
        <w:rPr>
          <w:b/>
        </w:rPr>
        <w:t>E. 6</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VRG-Kommentar, § 64 N. 5). Die Gerichtskosten können nach der Praxis des Verwaltungsgerichts indes nicht nur der unterliegenden Partei, sondern – nach Massgabe des Verursacherprinzips – ausnahmsweise auch Vorinstanzen auferlegt werden, etwa wenn die Aufhebung eines Rekursentscheids auf einen Verfahrensfehler der Vorinstanz zurückgeht (Kaspar Plüss, VRG-Kommentar, § 13 N. 59 mit Hinweisen; vgl. etwa betreffend die gleiche Vorinstanz VGr, 30. August 2016, VB.2016.00107, E. 7.1 f.). Hier ist einerseits die Beschwerdegegnerin als unterliegend zu betrachten und anderseits die Rückweisung auf einen Verfahrensfehler des Bezirksrats Bülach zurückzuführen; die Beschwerdegegnerin hat zudem die Akten trotz Aufforderung nicht eingereicht und damit ihre Mitwirkungspflicht verletzt. Unter diesen Umständen rechtfertigt sich, die Kosten des Beschwerdeverfahrens dem Bezirksrat Bülach zu 2/3 und der Beschwerdegegnerin zu 1/3 aufzuerlegen.</w:t>
      </w:r>
    </w:p>
    <w:p>
      <w:r>
        <w:rPr>
          <w:b/>
        </w:rPr>
        <w:t>E. 7</w:t>
      </w:r>
    </w:p>
    <w:p>
      <w:r>
        <w:t>Zur Rechtsmittelbelehrung des nachstehenden Dispositivs ist Folgendes zu erläutern: 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