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AN.2016.00006 vom 25. Januar 2018</w:t>
      </w:r>
    </w:p>
    <w:p>
      <w:r>
        <w:t>ZH Verwaltungsgericht, 2018-01-25, DE</w:t>
      </w:r>
    </w:p>
    <w:p>
      <w:r>
        <w:rPr>
          <w:b/>
        </w:rPr>
        <w:t xml:space="preserve">Quelle: </w:t>
      </w:r>
      <w:r>
        <w:t>https://mcp.opencaselaw.ch/entscheid/zh_verwaltungsgericht__AN.2016.00006</w:t>
      </w:r>
    </w:p>
    <w:p>
      <w:r>
        <w:t>FR: ZH_VERWALTUNGSGERICHT AN.2016.00006 du 25 janvier 2018</w:t>
      </w:r>
    </w:p>
    <w:p>
      <w:r>
        <w:t>IT: ZH_VERWALTUNGSGERICHT AN.2016.00006 del 25 gennaio 2018</w:t>
      </w:r>
    </w:p>
    <w:p>
      <w:pPr>
        <w:pStyle w:val="Heading2"/>
      </w:pPr>
      <w:r>
        <w:t>Regeste</w:t>
      </w:r>
    </w:p>
    <w:p>
      <w:r>
        <w:t>Änderung der EKZ-Verordnung | Änderung der EKZ-Verordnung. Über Rechtsmittel gegen Erlasse entscheidet das Gericht in Fünferbesetzung (E. 1.1). Die streitgegenständliche Verordnungsänderung wurde am 8. Juli 2016 im Amtsblatt des Kantons Zürich publiziert. Die Verordnungsänderung tritt indes nur "unter Vorbehalt der Genehmigung durch den Kantonsrat" in Kraft. Dem Genehmigungsentscheid des Kantonsrats kommt vorliegend somit eine konstitutive Wirkung zu, weshalb erst dieser am 5. Dezember 2016 die Beschwerdefrist auslöste und die Beschwerde folglich rechtzeitig erhoben wurde (E. 1.2). Bei der Anfechtung eines Erlasses genügt eine bloss virtuelle Betroffenheit. Das Erfordernis der unmittelbaren Betroffenheit muss sich daher zwar nicht aktuell verwirklichen, es wird dadurch aber nicht aufgehoben. Die unmittelbare Betroffenheit ergibt sich daraus, dass der Erlass auf eine Person direkt anwendbar ist oder werden könnte oder dass die Person zumindest durch auf ihn gestützte potenzielle Rechtsanwendungsakte direkt betroffen werden könnte. Bloss mittelbare Belastungen vermögen keine Beschwerdelegitimation zu begründen (E. 2.1). Die geänderten Verordnungsbestimmungen regeln allein die Gewinnausschüttung, welche die EKZ an den Kanton zu leisten haben, ohne dabei irgendwelche Rechte oder Pflichten der einzelnen Bürger zu begründen. Sollte die Verordnungsänderung negative Konsequenzen in finanzieller Hinsicht für Stromkunden wie den Beschwerdeführer zeitigen, sind diese dadurch lediglich mittelbar betroffen und belastet. Die erwähnten Legitimationsvoraussetzungen gelten ferner auch für die Rüge einer Verletzung des Gewaltenteilungsprinzips mittels Beschwerde. Die Gewaltenteilung gibt keinen generellen Anspruch auf Rechtsschutz gegen kompetenzwidrige staatliche Handlungen (E. 2.3). Nichteintreten.</w:t>
      </w:r>
    </w:p>
    <w:p>
      <w:pPr>
        <w:pStyle w:val="Heading2"/>
      </w:pPr>
      <w:r>
        <w:t>Erwägungen</w:t>
      </w:r>
    </w:p>
    <w:p>
      <w:r>
        <w:rPr>
          <w:b/>
        </w:rPr>
        <w:t>E. 3</w:t>
      </w:r>
    </w:p>
    <w:p>
      <w:r>
        <w:t>Die Kosten des Verfahrens sind dem Beschwerdeführer aufzuerlegen (§ 65a Abs. 2 in Verbindung mit § 13 Abs. 2 Satz 1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