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VB.2025.00774 vom 2. April 2026</w:t>
      </w:r>
    </w:p>
    <w:p>
      <w:r>
        <w:t>ZH Verwaltungsgericht, 2026-04-02, DE</w:t>
      </w:r>
    </w:p>
    <w:p>
      <w:r>
        <w:rPr>
          <w:b/>
        </w:rPr>
        <w:t xml:space="preserve">Quelle: </w:t>
      </w:r>
      <w:r>
        <w:t>https://mcp.opencaselaw.ch/entscheid/zh_verwaltungsgericht_VB.2025.00774</w:t>
      </w:r>
    </w:p>
    <w:p>
      <w:r>
        <w:t>FR: ZH_VERWALTUNGSGERICHT VB.2025.00774 du 2 avril 2026</w:t>
      </w:r>
    </w:p>
    <w:p>
      <w:r>
        <w:t>IT: ZH_VERWALTUNGSGERICHT VB.2025.00774 del 2 aprile 2026</w:t>
      </w:r>
    </w:p>
    <w:p>
      <w:pPr>
        <w:pStyle w:val="Heading2"/>
      </w:pPr>
      <w:r>
        <w:t>Regeste</w:t>
      </w:r>
    </w:p>
    <w:p>
      <w:r>
        <w:t>[Erteilung einer Kurzaufenthaltsbewilligung zur Vorbereitung der Heirat an einen rechtskräftig abgewiesenen Asylsuchenden] Für die Erteilung einer Kurzaufenthaltsbewilligung zum Zweck der Eheschliessung ist insbesondere vorausgesetzt, dass mit dem Eheschluss in absehbarer Zeit zu rechnen ist (E. 2). Absehbar ist die Eheschliessung, wenn mit der Beschaffung der zivilrechtlich erforderlichen Dokumente innert sechs Monaten gerechnet werden kann (E. 3.2). Der Beschwerdeführer hat die notwendigen Dokumente dem Zivilstandsamt bis heute nicht eingereicht, obwohl er für deren Beschaffung nunmehr rund ein Jahr Zeit hatte. Entgegen seiner nunmehr erhobenen Rüge sind diese auch beschaffbar und das Zivilstandsamt hat ihn darauf hingewiesen, welche Dokumente in welcher Form notwendig sind. Er macht nicht geltend, dass er diese inzwischen beschafft hat oder zeitnah erhältlich machen kann (E. 3.2). Damit ist mit dem Eheschluss in der Schweiz in absehbarer Zeit nicht zu rechnen (E. 3.2 und 3.3). Abweisung. Abweisung UP/URB.</w:t>
      </w:r>
    </w:p>
    <w:p>
      <w:pPr>
        <w:pStyle w:val="Heading2"/>
      </w:pPr>
      <w:r>
        <w:t>Erwägungen</w:t>
      </w:r>
    </w:p>
    <w:p>
      <w:r>
        <w:rPr>
          <w:b/>
        </w:rPr>
        <w:t>E. 4</w:t>
      </w:r>
    </w:p>
    <w:p>
      <w:r>
        <w:t>Aufgrund seines Unterliegens hat der Beschwerdeführer die Gerichtskosten zu tragen (§ 65a Abs. 2 in Verbindung mit § 13 Abs. 2 Satz 1 VRG) und ist ihm eine Parteientschädigung zu versagen (§ 17 Abs. 2 VRG).</w:t>
      </w:r>
    </w:p>
    <w:p>
      <w:r>
        <w:rPr>
          <w:b/>
        </w:rPr>
        <w:t>E. 5</w:t>
      </w:r>
    </w:p>
    <w:p>
      <w:r>
        <w:t>Der Beschwerdeführer ersucht um unentgeltliche Rechtspflege.</w:t>
      </w:r>
    </w:p>
    <w:p>
      <w:r>
        <w:rPr>
          <w:b/>
        </w:rPr>
        <w:t>E. 5.1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5.2</w:t>
      </w:r>
    </w:p>
    <w:p>
      <w:r>
        <w:t>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5.3</w:t>
      </w:r>
    </w:p>
    <w:p>
      <w:r>
        <w:t>Dem Beschwerdeführer war seit Langem bekannt, welche Dokumente das Zivilstandsamt (namentlich in Bezug auf den Nachweis der geschiedenen Ehe in Sri Lanka) für den Abschluss des Ehevorbereitungsverfahrens benötigt. Es lag in seiner Verantwortung, diese zu beschaffen bzw. zumindest darzutun, dass diese in absehbarer Zeit erhältlich gemacht werden. Hierfür hatte er auch genügend Zeit. Diesen Nachweis konnte der Beschwerdeführer indes weder im vorinstanzlichen Verfahren noch im Rahmen des vorliegenden Beschwerdeverfahrens beibringen. Dass es damit an einer Voraussetzung für die Erteilung einer Kurzaufenthaltsbewilligung fehlt, war mithin offensichtlich. Die Vorbringen des Beschwerdeführers sind folglich als aussichtslos zu betrachten, weshalb das Gesuch um unentgeltliche Rechtspflege abzuweisen ist. Aus den gleichen Gründen ist auch die Verweigerung der Gewährung der unentgeltlichen Rechtspflege durch die Vorinstanz nicht zu beanstanden.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