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VB.2025.00665 vom 11. Dezember 2025</w:t>
      </w:r>
    </w:p>
    <w:p>
      <w:r>
        <w:t>ZH Verwaltungsgericht, 2025-12-11, DE</w:t>
      </w:r>
    </w:p>
    <w:p>
      <w:r>
        <w:rPr>
          <w:b/>
        </w:rPr>
        <w:t xml:space="preserve">Quelle: </w:t>
      </w:r>
      <w:r>
        <w:t>https://mcp.opencaselaw.ch/entscheid/zh_verwaltungsgericht_VB.2025.00665</w:t>
      </w:r>
    </w:p>
    <w:p>
      <w:r>
        <w:t>FR: ZH_VERWALTUNGSGERICHT VB.2025.00665 du 11 décembre 2025</w:t>
      </w:r>
    </w:p>
    <w:p>
      <w:r>
        <w:t>IT: ZH_VERWALTUNGSGERICHT VB.2025.00665 del 11 dicembre 2025</w:t>
      </w:r>
    </w:p>
    <w:p>
      <w:pPr>
        <w:pStyle w:val="Heading2"/>
      </w:pPr>
      <w:r>
        <w:t>Regeste</w:t>
      </w:r>
    </w:p>
    <w:p>
      <w:r>
        <w:t>Wie die Vorinstanz in ihrem Nichteintretensentscheid zu Recht erwog, zielen die (vor Verwaltungsgericht erneuerten) Rügen des Beschwerdeführers offenkundig nicht auf eine Verletzung des Stimmrechts ab, sodass sein Rekurs insofern nicht als ein solcher in Stimmrechtssachen gemäss § 19 Abs. 1 lit. c VRG zu behandeln war. Für die Beurteilung des streitgegenständlichen Projekts ausserhalb eines Verfahrens in Stimmrechtssachen fehlte es der Vorinstanz an der sachlichen Zuständigkeit (E. 2). Abweisung der Beschwerde und nachträgliche Weiterleitung der Angelegenheit an das Baurekursgericht.</w:t>
      </w:r>
    </w:p>
    <w:p>
      <w:pPr>
        <w:pStyle w:val="Heading2"/>
      </w:pPr>
      <w:r>
        <w:t>Erwägungen</w:t>
      </w:r>
    </w:p>
    <w:p>
      <w:r>
        <w:rPr>
          <w:b/>
        </w:rPr>
        <w:t>E. 4</w:t>
      </w:r>
    </w:p>
    <w:p>
      <w:r>
        <w:t>Insoweit es sich bei dem vorliegenden Urteil um einen Zwischenentscheid über die Zuständigkeit handelt, kann dagegen nach Art. 92 Abs. 1 des Bundesgerichtsgesetzes vom 17. Juni 2005 (BGG, SR 173.110) beim Bundesgericht Beschwerde erhoben werden; eine spätere Anfechtung mit dem Endentscheid ist ausgeschlossen (Art. 92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