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VB.2025.00371 vom 17. Juni 2024</w:t>
      </w:r>
    </w:p>
    <w:p>
      <w:r>
        <w:t>ZH Verwaltungsgericht, 2024-06-17, DE</w:t>
      </w:r>
    </w:p>
    <w:p>
      <w:r>
        <w:rPr>
          <w:b/>
        </w:rPr>
        <w:t xml:space="preserve">Quelle: </w:t>
      </w:r>
      <w:r>
        <w:t>https://mcp.opencaselaw.ch/entscheid/zh_verwaltungsgericht_VB.2025.00371</w:t>
      </w:r>
    </w:p>
    <w:p>
      <w:r>
        <w:t>FR: ZH_VERWALTUNGSGERICHT VB.2025.00371 du 17 juin 2024</w:t>
      </w:r>
    </w:p>
    <w:p>
      <w:r>
        <w:t>IT: ZH_VERWALTUNGSGERICHT VB.2025.00371 del 17 giugno 2024</w:t>
      </w:r>
    </w:p>
    <w:p>
      <w:pPr>
        <w:pStyle w:val="Heading2"/>
      </w:pPr>
      <w:r>
        <w:t>Regeste</w:t>
      </w:r>
    </w:p>
    <w:p>
      <w:r>
        <w:t>Rückweisungsentscheid des Baurekursgerichts stellt einen nicht anfechtbaren Zwischenentscheid dar (E. 1). Nichteintreten.</w:t>
      </w:r>
    </w:p>
    <w:p>
      <w:pPr>
        <w:pStyle w:val="Heading2"/>
      </w:pPr>
      <w:r>
        <w:t>Erwägungen</w:t>
      </w:r>
    </w:p>
    <w:p>
      <w:r>
        <w:rPr>
          <w:b/>
        </w:rPr>
        <w:t>E. 3</w:t>
      </w:r>
    </w:p>
    <w:p>
      <w:r>
        <w:t>Zwischenentscheide sind nach Art. 93 Abs. 1 BGG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Rechtsmittelentscheide, mit denen ein kantonal letztinstanzliches Gericht über einen Zwischenentscheid einer unteren Instanz befindet, werden in der Regel ebenfalls als Zwischenentscheide qualifiziert (vgl. BGE 142 III 653 E. 1.1; 139 V 604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