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RG.2026.00002 vom 17. April 2026</w:t>
      </w:r>
    </w:p>
    <w:p>
      <w:r>
        <w:t>ZH Verwaltungsgericht, 2026-04-17, DE</w:t>
      </w:r>
    </w:p>
    <w:p>
      <w:r>
        <w:rPr>
          <w:b/>
        </w:rPr>
        <w:t xml:space="preserve">Quelle: </w:t>
      </w:r>
      <w:r>
        <w:t>https://mcp.opencaselaw.ch/entscheid/zh_verwaltungsgericht_RG.2026.00002</w:t>
      </w:r>
    </w:p>
    <w:p>
      <w:r>
        <w:t>FR: ZH_VERWALTUNGSGERICHT RG.2026.00002 du 17 avril 2026</w:t>
      </w:r>
    </w:p>
    <w:p>
      <w:r>
        <w:t>IT: ZH_VERWALTUNGSGERICHT RG.2026.00002 del 17 aprile 2026</w:t>
      </w:r>
    </w:p>
    <w:p>
      <w:pPr>
        <w:pStyle w:val="Heading2"/>
      </w:pPr>
      <w:r>
        <w:t>Regeste</w:t>
      </w:r>
    </w:p>
    <w:p>
      <w:r>
        <w:t>Die Vorbringen des Gesuchstellers sind nicht als neue Tatsachen im Sinn von § 86a lit. b VRG zu qualifizieren. Er wiederholt bloss, was schon in den zwei ordentlichen Rechtsmittelverfahren vorgebracht worden war, bzw. rügt erneut eine falsche Rechtsanwendung (E. 2). Nichteintreten.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Dispositivs ist Folgendes zu erläutern: Soweit ein Anwesenheitsanspruch des Beschwerdeführers geltend gemacht wird, ist die Beschwerde in öffentlich-rechtlichen Angelegenheiten nach Art. 82 ff. des Bundesgerichtsgesetzes vom 17. Juni 2005 (BGG, SR 173.110) zulässig; ansonsten steht die subsidiäre Verfassungsbeschwerde gemäss Art. 113 ff. BGG offen (Art. 83 lit. c Ziff. 2 und 4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