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KE.2026.00003 vom 5. März 2026</w:t>
      </w:r>
    </w:p>
    <w:p>
      <w:r>
        <w:t>ZH Verwaltungsgericht, 2026-03-05, DE</w:t>
      </w:r>
    </w:p>
    <w:p>
      <w:r>
        <w:rPr>
          <w:b/>
        </w:rPr>
        <w:t xml:space="preserve">Quelle: </w:t>
      </w:r>
      <w:r>
        <w:t>https://mcp.opencaselaw.ch/entscheid/zh_verwaltungsgericht_KE.2026.00003</w:t>
      </w:r>
    </w:p>
    <w:p>
      <w:r>
        <w:t>FR: ZH_VERWALTUNGSGERICHT KE.2026.00003 du 5 mars 2026</w:t>
      </w:r>
    </w:p>
    <w:p>
      <w:r>
        <w:t>IT: ZH_VERWALTUNGSGERICHT KE.2026.00003 del 5 marzo 2026</w:t>
      </w:r>
    </w:p>
    <w:p>
      <w:pPr>
        <w:pStyle w:val="Heading2"/>
      </w:pPr>
      <w:r>
        <w:t>Regeste</w:t>
      </w:r>
    </w:p>
    <w:p>
      <w:r>
        <w:t>Kostenerlass. Zuständigkeit der 3. Abteilung und des Einzelrichters (E. 1). Die nachträgliche Gewährung eines Kostenerlasses setzt unter anderem voraus, dass das ursprüngliche Rechtsmittel nicht aussichtslos war; gerade dies war hier jedoch der Fall (E. 2.1). Abweisung des Kostenerlassgesuchs. Abtretung der Forderung an das Obergericht.</w:t>
      </w:r>
    </w:p>
    <w:p>
      <w:pPr>
        <w:pStyle w:val="Heading2"/>
      </w:pPr>
      <w:r>
        <w:t>Erwägungen</w:t>
      </w:r>
    </w:p>
    <w:p>
      <w:r>
        <w:rPr>
          <w:b/>
        </w:rPr>
        <w:t>E. 3</w:t>
      </w:r>
    </w:p>
    <w:p>
      <w:r>
        <w:t>Die Kosten dieses Verfahrens sind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 tze s vom 17. Juni 2005 [BGG]). Darunter fallen auch Entscheide über den Erlass von Gerichtskosten. Die subsidiäre Verfassungsbeschwerde an das Bundesgericht gemäss Art. 113 ff. BGG steht nur zur Verfügung, wenn die Verle tzu ng verfassungsrechtlicher Verfahrensgarantien gerügt wird (Art. 116 BGG; vgl. BGr, 24. November 2025, 9D_22/2025, E. 3.1; 23. September 2024, 9D_13/2024,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