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ST.2023.208 vom 6. Dezember 2023</w:t>
      </w:r>
    </w:p>
    <w:p>
      <w:r>
        <w:t>ZH Steuerrekursgericht, 2023-12-06, DE</w:t>
      </w:r>
    </w:p>
    <w:p>
      <w:r>
        <w:rPr>
          <w:b/>
        </w:rPr>
        <w:t xml:space="preserve">Quelle: </w:t>
      </w:r>
      <w:r>
        <w:t>https://mcp.opencaselaw.ch/entscheid/zh_steuerrekursgericht_ST.2023.208</w:t>
      </w:r>
    </w:p>
    <w:p>
      <w:r>
        <w:t>FR: ZH_STEUERREKURSGERICHT ST.2023.208 du 6 décembre 2023</w:t>
      </w:r>
    </w:p>
    <w:p>
      <w:r>
        <w:t>IT: ZH_STEUERREKURSGERICHT ST.2023.208 del 6 dicembre 2023</w:t>
      </w:r>
    </w:p>
    <w:p>
      <w:pPr>
        <w:pStyle w:val="Heading2"/>
      </w:pPr>
      <w:r>
        <w:t>Regeste</w:t>
      </w:r>
    </w:p>
    <w:p>
      <w:r>
        <w:t>Die Pflichtige verkennt das Steuersubjekt der im Jahr 2004 erfolgten Handänderung. Nicht sie, sondern der Vater war damals Steuersubjekt. Der Steueraufschub war somit dem Vater und nicht der Pflichtigen zu gewähren, weshalb der Hauptantrag – mangels Veräusserung – abzuweisen ist. Die landwirtschaftlichen Grundstücke werden nicht mehr vom Bauernhaus aus bewirtschaftet. Letzteres wurde durch den Trennungsvorgang der landwirtschaftlichen Nutzung entzogen, sodass eine Zweckentfremdung vorliegt. Ein Nachweis der Selbstbewirtschaftung durch die Pflichtige ist mindestens fraglich. Die Vereinbarung mit dem Pächter belegt nicht, dass eine landwirtschaftliche Tätigkeit mit der erforderlichen Intensität und Professionalität ausgeübt wird. Die geltend gemachte potentielle zukünftige Hofübernahme durch die Urgrosskinder des Vaters, d.h. das Überspringen von zwei Generationen ist keineswegs als nur temporäre Zweckänderung zu qualifizieren. Sollte die Pflichtige eventualiter einwenden, der Anspruch auf Erhebung der ergänzenden Vermögenssteuer sei inzwischen verwirkt, ist zu berücksichtigen, dass die eigene Deklaration einen Teil des nach aussen in Erscheinung getretenen objektivierten Willens darstellt. Steuerpflichtige verstossen gegen den Grundsatz von Treu und Glauben, wenn sie einerseits den landwirtschaftlichen Ertragswert deklarieren und sich andererseits auf die Verwirkungseinrede berufen.</w:t>
      </w:r>
    </w:p>
    <w:p>
      <w:pPr>
        <w:pStyle w:val="Heading2"/>
      </w:pPr>
      <w:r>
        <w:t>Erwägungen</w:t>
      </w:r>
    </w:p>
    <w:p>
      <w:r>
        <w:rPr>
          <w:b/>
        </w:rPr>
        <w:t>E. 2</w:t>
      </w:r>
    </w:p>
    <w:p>
      <w:r>
        <w:t>ST.2023.208</w:t>
      </w:r>
    </w:p>
    <w:p>
      <w:r>
        <w:t>- 7 - nächsten steuerbaren Handänderung ist die ergänzende Vermögenssteuer sowohl für die Besitzesdauer des Vaters als auch für die eigene Besitzesdauer zu versteuern (vgl. Richner/Frei/Kaufmann/Rohner, § 42 N 4 und § 216 N 154 StG). Der Zeitraum der Be- steuerung erstreckt sich jedoch maximal auf die letzten 20 Jahre (§ 43 Abs. 1 StG). Die Pflichtige verkennt, dass der Aufschub dem Vater und nicht ihr bzw. der Miteigentümerin gewährt wurde. Ab ihrem Eigentumsantritt führt jede Veräusserung (so- fern nicht wiederum ein Steueraufschubtatbestand vorliegt) oder Zweckentfremdung zu einer ergänzenden Vermögenssteuer, denn auch den neuen Eigentümerinnen wird die privilegierte Ertragswertbesteuerung nur auf Zusehen hin gewährt. Wie vom kantonalen Steueramt in seiner Rekursantwort dargelegt, wird die er- gänzende Vermögenssteuer ausschliesslich in den in § 42 StG genannten Fällen einer Veräusserung aufgeschoben. Da die Pflichtige und die Miteigentümerin vorliegend kei- nes der vom Vater übernommenen Grundstücke veräusserten, ist folglich der Hauptan- trag abzuweisen. Die Frage eines Ausschubs stellt sich erst im Zeitpunkt einer Veräusse- rung. Zusammenfassend ist festzustellen, dass der Steueraufschub dem Vater und nicht der Pflichtigen zu gewähren war, weshalb der Hauptantrag – mangels Veräusse- rung – abzuweisen ist.</w:t>
      </w:r>
    </w:p>
    <w:p>
      <w:r>
        <w:rPr>
          <w:b/>
        </w:rPr>
        <w:t>E. 3</w:t>
      </w:r>
    </w:p>
    <w:p>
      <w:r>
        <w:t>Band, Bern 1969 § 36 N 2). Folglich kann die ergänzende Vermögenssteuer trotz Zweckentfremdung noch nicht erhoben werden. Allerdings wird in der erwähnten Recht- sprechung und Literatur die zeitliche Abgrenzung zwischen einer dauernden bzw. ledig- lich temporären Zweckentfremdung nicht erläutert. Von einer zeitnahen potentiellen Wiederaufnahme des Landwirtschaftsbetriebs auszugehen ist, wenn der Sohn des verstorbenen oder gesundheitlich angeschlagenen Betriebsleiters aufgrund seines jugendlichen Alters den Betrieb noch nicht übernehmen kann (Hans Ulrich Meuter, Ertragswertbewertung und ergänzende Vermögenssteuer, ZStP 1995, S. 11 f.). Im zu beurteilenden Fall wird geltend gemacht, die Urgrosskinder des Vaters würden den landwirtschaftlichen Betrieb dereinst wieder aufnehmen. Damit wird der Rahmen einer kurzfristigen, temporären Zweckentfremdung eindeutig ge- sprengt. Das Überspringen von zwei Generationen kann nicht als Wiederaufnahme in mehr oder weniger naher Zukunft qualifiziert werden. cc) Die dargestellte zukünftige Hofübernahme durch die Urgrosskinder des Va- ters ist zudem nicht glaubhaft. Laut dem Kaufvertrag wurde nicht nur ein Wohnrecht und ein Gewinnanteilsrecht zugunsten des Vaters und dessen Ehefrau, sondern auch ein Vorkaufsrecht der Schwester für einen Zeitraum von 25 Jahren vereinbart. Dieses Vor- kaufsrecht wirkt noch bis Mitte 2029. Die Schwester kann das Vorkaufsrecht somit nur noch eine begrenzte Zeit und nur im Fall einer Veräusserung durchsetzen. Wäre tatsächlich eine Hofübernahme durch die Grosskinder der Schwester an- gestrebt worden, wäre vielmehr zu erwarten gewesen, dass die Grundstücke der Schwester – allenfalls unter Einräumung eines Wohnrechts für den Vater, seine Ehefrau, die Pflichtige und die Miteigentümerin – zugesprochen worden wären. e) Zusammenfassend ist festzustellen, dass die landwirtschaftlichen Grundstü- cke nicht weiter vom Bauernhaus aus bewirtschaftet werden. Letzteres wurde durch den Trennungsvorgang der landwirtschaftlichen Nutzung entzogen, sodass eine Zweckent- fremdung vorliegt. Ein Nachweis der Selbstbewirtschaftung durch die Pflichtige und die Miteigentümerin ist mindestens fraglich. Die Vereinbarung mit dem Pächter G belegt, selbst wenn sie wie dargestellt gelebt wird, nicht, dass eine landwirtschaftliche Tätigkeit mit der erforderlichen Intensität und Professionalität ausgeübt wird. Zudem ist die 2 ST.2023.208</w:t>
      </w:r>
    </w:p>
    <w:p>
      <w:r>
        <w:t>- 11 - geltend gemachte potentielle zukünftige Hofübernahme durch die Urgrosskinder des Va- ters, d.h. das Überspringen von zwei Generationen keineswegs als nur temporäre Zweckentfremdung zu qualifizieren. Vorliegend ist anzunehmen, dass die Zweckentfremdung bereits länger zurück- liegt. Sollte die Pflichtige eventualiter einwenden, der Anspruch auf Erhebung der ergän- zenden Vermögenssteuer sei inzwischen verwirkt, ist zu berücksichtigen, dass die Pflichtige seit 2004 stets den landwirtschaftlichen Ertragswert deklarierte. Wer durch die Deklaration des landwirtschaftlichen Ertragswerts eine vorteilhafte Besteuerung erwirkt hat, kann nicht mit Erfolg einwenden, die Zweckentfremdung sei schon früher eingetre- ten, wenn sich die zum Ertragswert vorgenommenen Veranlagungen im Rahmen einer vertretbaren Auffassung gehalten und daher gesetzmässig gewesen sind. Die eigene Deklaration stellt einen Teil des nach aussen in Erscheinung getretenen objektivierten Willens dar, wonach (noch) keine Zweckentfremdung stattgefunden hat. Steuerpflichtige verstossen gegen den Grundsatz von Treu und Glauben, wenn sie einerseits den land- wirtschaftlichen Ertragswert deklarieren und sich andererseits auf die Verwirkungsein- rede berufen (VGr, 6. Dezember 2023, SB.2023.00071).</w:t>
      </w:r>
    </w:p>
    <w:p>
      <w:r>
        <w:rPr>
          <w:b/>
        </w:rPr>
        <w:t>E. 4</w:t>
      </w:r>
    </w:p>
    <w:p>
      <w:r>
        <w:t>Nicht strittig ist hingegen die konkrete Höhe der festgelegten ergänzenden Vermögenssteuer. Die Pflichtige hat im Einschätzungsverfahren eine Reduktion des Steuerbetrags erzielt. Die festgesetzte ergänzende Vermögenssteuer ist ohne weiteres nachvollziehbar und mit dem Steuergesetz vereinbar. Infolgedessen kann diesbezüglich auf Weiterungen verzichtet werden.</w:t>
      </w:r>
    </w:p>
    <w:p>
      <w:r>
        <w:rPr>
          <w:b/>
        </w:rPr>
        <w:t>E. 5</w:t>
      </w:r>
    </w:p>
    <w:p>
      <w:r>
        <w:t>Aufgrund des Gesagten ist der Rekurs abzuweisen und sind die Kosten des vorliegenden Verfahrens der Pflichtigen aufzuerlegen (§ 151 Abs. 1 StG). Eine Partei- entschädigung ist ihr ausgangsgemäss nicht zuzusprechen (§ 152 StG i.V.m. § 17 Abs. 2 des Verwaltungsrechtspflegegesetzes vom 24. Mai 1959). 2 ST.2023.208</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