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ST.2023.177 vom 27. März 2024</w:t>
      </w:r>
    </w:p>
    <w:p>
      <w:r>
        <w:t>ZH Steuerrekursgericht, 2024-03-27, DE</w:t>
      </w:r>
    </w:p>
    <w:p>
      <w:r>
        <w:rPr>
          <w:b/>
        </w:rPr>
        <w:t xml:space="preserve">Quelle: </w:t>
      </w:r>
      <w:r>
        <w:t>https://mcp.opencaselaw.ch/entscheid/zh_steuerrekursgericht_ST.2023.177</w:t>
      </w:r>
    </w:p>
    <w:p>
      <w:r>
        <w:t>FR: ZH_STEUERREKURSGERICHT ST.2023.177 du 27 mars 2024</w:t>
      </w:r>
    </w:p>
    <w:p>
      <w:r>
        <w:t>IT: ZH_STEUERREKURSGERICHT ST.2023.177 del 27 marzo 2024</w:t>
      </w:r>
    </w:p>
    <w:p>
      <w:pPr>
        <w:pStyle w:val="Heading2"/>
      </w:pPr>
      <w:r>
        <w:t>Regeste</w:t>
      </w:r>
    </w:p>
    <w:p>
      <w:r>
        <w:t>Die Pflichtige unterzeichnet den Schätzungsvorschlag im Einspracheverfahren. Der mit der Schlussrechnung eröffnete Entscheid hat die gleiche Wirkung wie ein Einspracheentscheid, somit kann dagegen Rekurs erhoben werden. Der Einkommenssteuer unterliegt grundsätzlich die positive Differenz zwischen dem Verkehrswert der Mitarbeiteraktie und deren Abgabepreis. Verfügungsbeschränkungen wie Sperrfristen oder Rückgabeverpflichtungen sind bei der Berechnung des geldwerten Vorteils grundsätzlich zu berücksichtigen. Entspricht der spätere Veräusserungspreis grundsätzlich dem Erwerbspreis, ist ein positiver Differenzbetrag ausgeschlossen. Damit ist im vorliegenden Fall die zentrale Grundvoraussetzung für eine Besteuerung der Mitarbeiterbeteiligung nicht gegeben. Vermögenssteuerwert wurde korrekt berechnet. Teilweise Gutheissung.</w:t>
      </w:r>
    </w:p>
    <w:p>
      <w:pPr>
        <w:pStyle w:val="Heading2"/>
      </w:pPr>
      <w:r>
        <w:t>Erwägungen</w:t>
      </w:r>
    </w:p>
    <w:p>
      <w:r>
        <w:rPr>
          <w:b/>
        </w:rPr>
        <w:t>E. 2</w:t>
      </w:r>
    </w:p>
    <w:p>
      <w:r>
        <w:t>ST.2023.177</w:t>
      </w:r>
    </w:p>
    <w:p>
      <w:r>
        <w:t>- 7 -</w:t>
      </w:r>
    </w:p>
    <w:p>
      <w:r>
        <w:rPr>
          <w:b/>
        </w:rPr>
        <w:t>E. 3</w:t>
      </w:r>
    </w:p>
    <w:p>
      <w:r>
        <w:t>Strittig ist vorliegend, ob die Differenz von Fr. 158'358.- zwischen dem von der Pflichtigen für die 66 Namenaktien und 120 Partizipationsscheine der C AG bezahl- ten Preis von Fr. 180'000.- und dem formelmässig berechneten Verkehrswert von Fr. 338'358.- als Einkommen aus unselbständiger Erwerbstätigkeit aufzurechnen ist. Un- einig sind sich die Parteien auch über die Vermögenssteuerwerte dieser Wertpapiere. a) Das kantonale Steueramt weist in der Rekursantwort darauf hin, dass der Beteiligungserwerb durch das Arbeitsverhältnis begründet sei, weshalb eine Mitarbeiter- beteiligung im Sinn von § 17a ff. StG bzw. dem KS 37 der ESTV vorliege. Die Pflichtige habe ungeachtet einer entsprechenden Aufforderung im Einspracheverfahren weder einen Aktionärbindungsvertrag mit einer Formel zur Berechnung des Wertes noch eine detaillierte Kaufpreisberechnung eingereicht. Auch unter Berücksichtigung der verein- barten Rückgabeverpflichtung seitens der Pflichtigen gelange die Formelbewertung ge- mäss dem KS 28 der SSK zur Anwendung. Die Differenz zwischen dem Formelwert und dem bezahlten Kaufpreis unterliege daher der Einkommenssteuer. b) Die Pflichtige vertritt in ihrer kurz gehaltenen Eingabe den Standpunkt, sie habe für die Namenaktien und die Partizipationsscheine insgesamt Fr. 180'000.- bezahlt und müsse diese bei einer Beendigung des Arbeitsverhältnisses zu demselben Preis wieder an die Verkäuferin zurückverkaufen. Sie verweist auf Ziff. 5.1 und 5.2 des Kauf- vertrages vom … 2021. Sie partizipiere somit nur an den Dividendenzahlungen, nicht aber an einer allfälligen Wertsteigerung der Beteiligungen. c) aa) Vorab ist zu berücksichtigen, dass die Grundlage für die steuerliche Be- urteilung eines Vorgangs die zivilrechtlichen Verhältnisse bilden, insbesondere die von den Parteien abgeschlossenen Verträge (BGr, 23. Dezember 2016, 2C_342/2016 und 2C_343/2016, E. 3.2.1, mit Hinweisen). Bei der Auslegung eines zivilrechtlichen Ver- trags ist es vorrangig wichtig, den tatsächlichen Willen der Parteien zu berücksichtigen. Dies wird auch als empirische oder subjektive Vertragsauslegung gemäss Art. 18 Abs. 1 OR oder natürlicher Konsens bezeichnet. Gemäss dem Vertrauensprinzip ist der Vertrag objektiv auszulegen (Art. 2 Abs. 2 ZGB). Hierbei ist es wichtig, den mutmasslichen Par- teiwillen zu ermitteln, wie er von den jeweiligen Erklärungsempfängern nach Treu und Glauben verstanden werden durfte und musste (normative oder objektive Vertragsaus- legung gemäss Art. 2 Abs. 1 ZGB; rechtlicher Konsens; vgl. BGE 144 III 93 E. 5.2.1 S. 97 f.; BGE 144 V 84 E. 6.2.1 S. 89). 2 ST.2023.177</w:t>
      </w:r>
    </w:p>
    <w:p>
      <w:r>
        <w:t>- 8 - Die von der Pflichtigen und der Verkäuferin abgeschlossenen Verträge sind nach dem Gesagten auszulegen. Massgebend ist der tatsächliche Wille der Parteien. Diese haben unmissverständlich in Ziff. 5.1 f. des Vertrages vom … 2021 festgehalten, dass die Pflichtige die Beteilungen an der C AG zeitgleich mit einer Beendigung des Arbeitsverhältnisses zum Preis von Fr. 180'000.- an die Verkäuferin zurückverkaufen muss. Der Vertrag regelt sowohl den Kauf (Ziff. 1 bis 4) als auch eine Rückgabeverpflich- tung. bb) Bei der Berechnung des geldwerten Vorteils sind grundsätzlich Verfügungs- beschränkungen wie beispielsweise eine Sperrfrist oder eine Rückgabeverpflichtung zu berücksichtigen. Im Urteil 2C_1057/2018 vom 7. April 2020 ist das Bundesgericht in ei- nem ähnlich gelagerten Fall zum Schluss gekommen, ein zwischen zwei Aktionären in einem Aktionärbindungsvertrag geregeltes Vorkaufsrecht zum Substanzwert müsse für die Festsetzung des steuerbaren Einkommens berücksichtigt werden. Es erwog, der Aktionärbindungsvertrag wirke sich im Ergebnis ähnlich wie eine Sperre von Mitarbeiter- aktien aus, da der Beschwerdegegner die erworbenen Aktien nur mit Zustimmung des anderen Aktionärs veräussern könne und diesem die Aktien vorgängig zum Substanz- wert anzubieten habe (BGr, 7. April 2020, 2C_1057/2018, E. 8.2). Auch das Verwal- tungsgericht hielt in einem vergleichbaren Fall fest, dass ein Vorhandrecht zum Sub- stanzwert einkommenssteuermindernd zu berücksichtigen sei (VGr, 11. März 2022, SB.2021.00119 + SB.2021.00120, E. 5.3.3). cc) Der geldwerte Vorteil, welcher wie andere Nebenleistungen des Arbeitge- bers der Einkommenssteuer unterliegt, setzt grundsätzlich eine positive Differenz vo- raus. Diese ist bei börsenkotierten Aktien, die unterpreislich und ohne Sperrfrist an Mit- arbeiter abgegeben werden, einfach zu berechnen. In der Praxis wird meistens eine Sperrfrist vereinbart. Häufig in Kombination mit weiteren Vereinbarungen zwischen Ar- beitgeber und Arbeitnehmer. Das KS 37 der ESTV thematisiert im Detail, wie sich die verschiedenen Elemente auf die zu besteuernde positive Differenz auswirkt. dd) Die Pflichtige erwarb insgesamt eine Beteiligung im Nennwert von Fr. 45'000.- (66 Namenaktien zum Nennwert à Fr. 500.- und 120 Partizipationsscheine zum Nennwert à Fr. 100.-). In Anbetracht des Gesamtnennwertes von Fr. 600'000.- er- warb die Pflichtige eine Beteiligung von 7.5% an der C AG. Damit hat sie einerseits kei- nen Einfluss auf die Dividendenpolitik der Gesellschaft und andererseits ist eine Minder- heitsbeteiligung an einer nicht börsenkotierten kleinen oder mittleren Unternehmung 2 ST.2023.177</w:t>
      </w:r>
    </w:p>
    <w:p>
      <w:r>
        <w:t>- 9 - (KMU) nur schwer und allenfalls nur zu einem tiefen Preis verkäuflich, denn es existiert letztlich kein Markt für Minderheitsbeteiligungen an nicht börsenkotierten Unternehmun- gen. Im vorliegenden Fall waren sich die Vertragsparteien beim Abschluss des Kauf- vertrages einig, dass die Pflichtige, die erworbene Beteiligung weder an Drittpersonen noch zu einem höheren Preis veräussern können soll. Die Absicht der Vertragsparteien ist eindeutig. Die Pflichtige soll – solange sie für die C AG tätig ist – dividendenberechtigt sein. Zur Erlangung dieses Rechts wurde ihr ein zinsloses Darlehen gewährt. Darüber hinaus soll es ihr aber verwehrt sein, mit dieser Beteiligung einen Kapitalgewinn zu er- zielen. Wenn der spätere Verkaufspreis grundsätzlich dem Kaufpreis entspricht, ist je- doch eine positive Differenz ausgeschlossen. Daher ist vorliegend die zentrale Grund- voraussetzung für eine Besteuerung der Mitarbeiterbeteiligung nicht gegeben. Anders kann die Rückgabeverpflichtung nicht verstanden werden, kommt diese doch de facto einer unbeschränkten Sperrfrist gleich. ee) Die Rückgabeverpflichtung zum Kaufpreis ist überdies restriktiver, als wenn die Parteien eine solche zum Substanzwert vereinbart hätten. Die Pflichtige soll vorlie- gend nicht einmal an einem allenfalls höheren Substanzwert partizipieren. Entgegen der Vorinstanz ist die zwischen der Pflichtigen und der Verkäuferin vereinbarte Rückkaufs- verpflichtung einkommensmindernd zu berücksichtigen. ff) Der vorliegende Fall ist ebenso wenig vergleichbar mit einem Vertrag, der dem Mitarbeiter das Recht einräumt mit einer Put-Option die Beteiligung an die Verkäu- ferin zu einem vorteilhaften Kurs zurückzuverkaufen, welche dadurch das Risiko fallen- der Kurse trägt und die Gerichte folglich auf eine der Einkommenssteuer unterliegende Mitarbeiterbeteiligung schlossen (vgl. z.B. BGr, 23. Mai 2016, 2C_357/2014 / 2C_358/2014 oder VGr, 21. August 2019, SB.2019.00001). d) Zusammenfassend ist festzuhalten, dass die zwischen der Pflichtigen und der Verkäuferin vereinbarte Rückkaufsverpflichtung einkommensmindernd zu berück- sichtigen ist, weshalb von einer Aufrechnung der Differenz zum Verkehrswert als Ein- kommen aus unselbständiger Erwerbstätigkeit im Zeitpunkt des Erwerbs abzusehen ist. Der Rekurs ist diesbezüglich gutzuheissen. 2 ST.2023.177</w:t>
      </w:r>
    </w:p>
    <w:p>
      <w:r>
        <w:t>- 10 -</w:t>
      </w:r>
    </w:p>
    <w:p>
      <w:r>
        <w:rPr>
          <w:b/>
        </w:rPr>
        <w:t>E. 4</w:t>
      </w:r>
    </w:p>
    <w:p>
      <w:r>
        <w:t>In ihrer Rekursschrift vertritt die Pflichtige ferner die Ansicht, dass der Wert ihrer Beteiligung während der ganzen Laufzeit Fr. 180'000.- betrage. Das kantonale Steueramt hält diesbezüglich den Formelwert gemäss KS 28 der SSK grundsätzlich für anwendbar. a) Vorab ist festzustellen, dass nach ständiger Rechtsprechung eine Veranla- gung bei periodischen Steuern nur für die betreffende Steuerperiode in Rechtskraft er- wächst (vgl. Urteil 2C_827/2021, 2C_850/2021 vom 28. September 2022 E. 5.4). Vorlie- gend ist somit ausschliesslich die Steuerperiode 2021 zu beurteilen. b) Nach ständiger Praxis gilt das KS 28 der SSK als zuverlässige Methode zur Ermittlung des für die Vermögenssteuer massgebenden Verkehrswertes, da er die für die Preisbildung bei nicht kotierten Aktien im Allgemeinen massgebenden Überlegungen zum Ausdruck bringt. Privatrechtliche Vereinbarungen wie beispielsweise Aktionärbin- dungsverträge, welche die Übertragbarkeit der Titel beeinträchtigen, sind für die Bewer- tung unbeachtlich (KS 28 der SSK Ziff. 2 Abs. 4; VGr, 26. August 2020, SB.2020.00024). c) Vorliegend irritiert zweifellos, dass das kantonale Steueramt in Anwendung des KS 28 der SSK im Einschätzungsentscheid vom 24. Februar 2023 von einem Ver- mögenssteuerwert von insgesamt Fr. 34'232.- (Fr. 2'100.- [Partizipationsscheine] und Fr. 32'132.- [Aktien]) festlegte und im Einschätzungsvorschlag im Einspracheverfahren vom 17. Februar 2021 bzw. in der Schlussrechnung im Einspracheverfahren vom 12. Ap- ril 2021 von einem solchen von Fr. 85’264.- (Fr. 21’000.- [Partizipationsscheine] und Fr. 64’264.- [Aktien]) ausging. Im Einschätzungsverfahren ging das kantonale Steueramt vermutlich irrtümlicherweise von 12 Partizipationsscheinen und 33 Aktien aus, während dem im Einspracheverfahren die korrekte Zahl Partizipationsscheine (120 Stück) und Aktien (66 Stück) berücksichtigt wurden. Allerdings wurde der Begründungstext – wel- cher wiederum die falsche Stückzahl erwähnt – nicht angepasst. Die Bewertung im Einspracheverfahren kann aufgrund der Bewertung des kan- tonalen Steueramtes Aargau verifiziert werden. Dieses ging per 31. Dezember 2021 von einem Unternehmenssteuerwert von Fr. 1'668'765.- aus. Unter Berücksichtigung des Pauschalabzuges von 30% bei einer Minderheitsbeteiligung resultiert ein Unterneh- menssteuerwert von Fr. 1'168'135.50, weshalb der Beteiligung der Pflichtigen von 7.5% ein Wert von Fr. 87'610.16 zukommt. Die Differenz gegenüber dem im Einsprachever- fahren berücksichtigten Vermögenssteuerwert von Fr. 85'264.-, d.h. rund Fr. 2'300.- ist 2 ST.2023.177</w:t>
      </w:r>
    </w:p>
    <w:p>
      <w:r>
        <w:t>- 11 - vermutlich eine Rundungsdifferenz. Insofern kann davon ausgegangen werden, dass im Einspracheverfahren die korrekten Werte eingesetzt wurden. d) Ob die Pflichtige tatsächlich einen konkreten Verböserungsantrag stellt oder ob sie lediglich die Ansicht vertritt, der Vermögenssteuerwert könne maximal Fr. 180'000.- betragen, bleibt unklar. Da keine Anhaltspunkte dafür vorliegen, dass das kantonale Steueramt Aargau die ausgewiesenen Vermögenssteuerwerte falsch berech- nete und das kantonale Steueramt Zürich im Einspracheverfahren die korrekten Stück- zahlen verwendete, erweist sich der Vermögenssteuerwert der Beteiligung der Pflichti- gen an der C AG als zutreffend. Daher ist der Rekurs diesbezüglich abzuweisen, soweit darauf überhaupt einzutreten ist.</w:t>
      </w:r>
    </w:p>
    <w:p>
      <w:r>
        <w:rPr>
          <w:b/>
        </w:rPr>
        <w:t>E. 5</w:t>
      </w:r>
    </w:p>
    <w:p>
      <w:r>
        <w:t>Ausgangsgemäss sind die Verfahrenskosten dem (beinahe vollständig un- terliegenden) Rekursgegner aufzuerlegen (§ 151 Abs. 1 StG). Eine Parteientschädigung wurde von der Pflichtigen nicht beantragt (§ 152 StG i.V.m. § 17 des Verwaltungsrechts- 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