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ST.2018.36 vom 29. Januar 2019</w:t>
      </w:r>
    </w:p>
    <w:p>
      <w:r>
        <w:t>ZH Steuerrekursgericht, 2019-01-29, DE</w:t>
      </w:r>
    </w:p>
    <w:p>
      <w:r>
        <w:rPr>
          <w:b/>
        </w:rPr>
        <w:t xml:space="preserve">Quelle: </w:t>
      </w:r>
      <w:r>
        <w:t>https://mcp.opencaselaw.ch/entscheid/zh_steuerrekursgericht_ST.2018.36</w:t>
      </w:r>
    </w:p>
    <w:p>
      <w:r>
        <w:t>FR: ZH_STEUERREKURSGERICHT ST.2018.36 du 29 janvier 2019</w:t>
      </w:r>
    </w:p>
    <w:p>
      <w:r>
        <w:t>IT: ZH_STEUERREKURSGERICHT ST.2018.36 del 29 gennaio 2019</w:t>
      </w:r>
    </w:p>
    <w:p>
      <w:pPr>
        <w:pStyle w:val="Heading2"/>
      </w:pPr>
      <w:r>
        <w:t>Regeste</w:t>
      </w:r>
    </w:p>
    <w:p>
      <w:r>
        <w:t>Frage, ob sich die vom Vater der Pflichtigen "geschenkte" Darlehensforderung über Fr. 1'000'000.- per 31.12.2015 im Vermögen der Pflichtigen befunden hatte. Die Forderung ist erst auf das Ableben des Vaters hin kündbar und daher als Anwartschaft zu werten. Streichung aus dem Vermögen.</w:t>
      </w:r>
    </w:p>
    <w:p>
      <w:pPr>
        <w:pStyle w:val="Heading2"/>
      </w:pPr>
      <w:r>
        <w:t>Erwägungen</w:t>
      </w:r>
    </w:p>
    <w:p>
      <w:r>
        <w:rPr>
          <w:b/>
        </w:rPr>
        <w:t>E. 2</w:t>
      </w:r>
    </w:p>
    <w:p>
      <w:r>
        <w:t>ST.2018.36</w:t>
      </w:r>
    </w:p>
    <w:p>
      <w:r>
        <w:t>- 3 - Die Einzelrichterin zieht in Erwägung: 1. a) Der Vermögenssteuer unterliegt das gesamte Reinvermögen (§ 38 Abs. 1 des Steuergesetzes vom 8. Juni 1997, StG). Vermögen ist dabei die Gesamtheit der einer Person zustehenden geldwerten Rechte. Das steuerbare Vermögen bemisst sich nach dem Stand am Ende der Steuerperiode oder der Steuerpflicht (§ 51 Abs. 1 StG). Hinsichtlich der Frage, wann ein Vermögenswert als zugeflossen zu betrachten ist, ist es so, dass der Mittelzufluss ein faktischer Vorgang ist, der damit abgeschlossen ist, dass die steuerpflichtige Person die wirtschaftliche Verfügungsmacht über die zu- geflossenen Vermögenswerte innehat. Eine Einkunft gilt nach steuerrechtlichen Grundsätzen dann als zugeflossen und damit erzielt, wenn die steuerpflichtige Person Leistungen vereinnahmt oder einen festen Rechtsanspruch darauf erwirbt, über den sie tatsächlich verfügen kann. Die Begründung des Anspruchs auf die Forderung ist in der Regel Vorstufe der Geldleistung. Bei diesem zweistufigen Erwerb entsteht die Steuer- pflicht entweder beim Forderungserwerb oder bei der Zahlung. Vorherrschend ist die Besteuerung im Zeitpunkt des Forderungserwerbs (BGE 113 Ib 23 E. 2e mit Hinwei- sen). Von diesen Grundsätzen wird in der Steuerpraxis nur ausnahmsweise abgewi- chen. Namentlich wenn die Erfüllung der Forderung als unsicher betrachtet werden muss, wird mit der Besteuerung bis zur Erfüllung zugewartet (BGE 113 Ib 23 E. 2e; zum Ganzen: Richner/Frei/Kaufmann/Meuter, Kommentar zum Zürcher Steuergesetz,</w:t>
      </w:r>
    </w:p>
    <w:p>
      <w:r>
        <w:rPr>
          <w:b/>
        </w:rPr>
        <w:t>E. 3</w:t>
      </w:r>
    </w:p>
    <w:p>
      <w:r>
        <w:t>A., 2013, § 50 N 20 ff.). Grundsätzlich sind nur unbedingte Leistungsansprüche als realisierte Einkunft zu betrachten. Bei aufschiebend bedingten Rechtsgeschäften bleibt der Erwerb des Einkommens bis zum Eintritt des zukünftigen Ereignisses in der Schwebe, so dass der Einkommenszufluss erst in dem Zeitpunkt erfolgt, in welchem der Schwebezustand wegfällt und feststeht, dass der Empfänger das fragliche Einkommen ohne weitere Ge- genleistung behalten kann (StRK, 17. Juni 1987, StE 1988 B 21.2 Nr. 2). Die Parteien erhalten mit Abschluss des aufschiebend bedingten Vertrags erst eine Anwartschaft auf die ihnen im Vertrag zugedachten Rechte (Richner/Frei/Kaufmann/Meuter, § 50 N 26a). Anwartschaften unterliegen daher (auch) nicht der Vermögensbesteuerung, da Anwartschaften keine geldwerten Rechte sind, sondern nur die (mehr oder weniger) 2 ST.2018.36</w:t>
      </w:r>
    </w:p>
    <w:p>
      <w:r>
        <w:t>- 4 - ungewissen Aussichten auf einen künftigen Rechtserwerb darstellen (Rich- ner/Frei/Kaufmann/Meuter, § 38 N 5). b) Strittig war im Einschätzungsverfahren der Steuerwert einer im Wertschrif- tenverzeichnis deklarierten Darlehensforderung der Pflichtigen gegenüber der E AG im Nominalwert von Fr. 1'000'000.-. Zunächst ist zu prüfen, ob bei der Pflichtigen über- haupt ein (unentgeltlicher) Zufluss (in diesem Umfang) stattgefunden hat bzw. die For- derungen per 31. Dezember 2015 Bestandteil des Vermögens der Pflichtigen war. c) Gemäss Vereinbarung aus dem Jahr 2011 zwischen dem Vater der Pflichti- gen, F, und der Pflichtigen hat die deklarierte Forderung im Betrag von Fr. 1'000'000.- folgenden Hintergrund: F ist (nach Feststellungen des Steueramts alleiniger) Inhaber der E AG mit Sitz in G und verfügte pro 2011 nach eigenen Angaben über eine Darle- hensforderung gegenüber der E AG im Betrag von Fr. 2'367'222.35. Im Umfang von Fr. 1'000'000.- trat er die Forderung seiner Tochter ohne Gegenleistung und mithin schenkungshalber ab. Die "geschenkte" Darlehensvaluta sollte jedoch erst nach dem Ableben von F ein- bzw. zurückgefordert werden können. Sodann behielt sich F das Recht vor, die Schenkung rückgängig zu machen, sollte die Pflichtige vor ihm verster- ben. Die Verzinsung sollte im Ermessen der E AG liegen. d) Nach dem Wortlaut der Vereinbarung aus dem Jahr 2011 hat der Vater der Tochter damit eine aufschiebend bedingte Darlehensforderung geschenkt, wobei die Bedingung dem Ableben des Schenkers entspricht. Es fragt sich, ob nicht eine solche Schenkung, deren Vollziehbarkeit auf den Tod des Schenkers gestellt ist, unter den Vorschriften über die Verfügungen von Todes wegen (Art. 245 Abs. 2 OR) steht, vor- liegend aber nicht eingehalten worden sind. Auch wenn aber von einer (gültigen) Schenkung unter Lebenden ausgegangen würde (worauf BGE 69 II 310 = Pra 1943, 388 hindeutet; allerdings sprechen Vogt/Vogt in: Basler Kommentar, Obligationenrecht I, 6. A., 2015, Art. 245 N 10 lit. f OR e contrario eher für das Gegenteil), wäre ein Zu- fluss bei der Pflichtigen entsprechend E. 1.a + c bis anhin zu verneinen, da die Bedin- gung des Ablebens des Schenkers – soweit aktenkundig – pro 2015 noch nicht einge- treten war und die blosse Anwartschaft noch keinen festen Rechtsanspruch darstellt, über den die Pflichtige verfügen konnte. Die deklarierte Darlehensforderung im Nenn- wert von Fr. 1'000'000.- hatte bei der Pflichtigen per 31.12.2015 demnach noch keinen Bestand, weshalb sie aus deren Vermögen zu streichen ist. 2 ST.2018.36</w:t>
      </w:r>
    </w:p>
    <w:p>
      <w:r>
        <w:t>- 5 - d) Der Vollständigkeit halber sei noch angefügt, dass es sich bei einer Darle- hensforderung bzw. einem Darlehensschuldschein um kein Wertpapier handelt (Robert Furter in: Basler Kommentar, Obligationenrecht II, 3. A., 2008, Art. 965 Rz. 16), wes- halb das von den Pflichtigen angeführte Kreisschreiben der Schweizerischen Steuer- konferenz von vornherein keine Anwendung finden würde. 2. a) Im Sinne dieser Erwägungen ist der Rekurs gutzuheissen und die Pflich- tigen sind mit einem steuerbaren Einkommen von Fr. 106'400.- (satzbestimmend Fr. 118'900.-) und einem steuerbaren Vermögen von Fr. 0.- (satzbestimmend Fr. 152'000.-) einzuschätzen (Streichung von Fr. 1'000'000.- im Vermögen). b) Ausgangsgemäss sind die Kosten des vorliegenden Verfahrens dem Re- kursgegner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