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ST.2014.5 vom 26. Juni 2014</w:t>
      </w:r>
    </w:p>
    <w:p>
      <w:r>
        <w:t>ZH Steuerrekursgericht, 2014-06-26, DE</w:t>
      </w:r>
    </w:p>
    <w:p>
      <w:r>
        <w:rPr>
          <w:b/>
        </w:rPr>
        <w:t xml:space="preserve">Quelle: </w:t>
      </w:r>
      <w:r>
        <w:t>https://mcp.opencaselaw.ch/entscheid/zh_steuerrekursgericht_ST.2014.5</w:t>
      </w:r>
    </w:p>
    <w:p>
      <w:r>
        <w:t>FR: ZH_STEUERREKURSGERICHT ST.2014.5 du 26 juin 2014</w:t>
      </w:r>
    </w:p>
    <w:p>
      <w:r>
        <w:t>IT: ZH_STEUERREKURSGERICHT ST.2014.5 del 26 giugno 2014</w:t>
      </w:r>
    </w:p>
    <w:p>
      <w:pPr>
        <w:pStyle w:val="Heading2"/>
      </w:pPr>
      <w:r>
        <w:t>Regeste</w:t>
      </w:r>
    </w:p>
    <w:p>
      <w:r>
        <w:t>Die von zwei Schwestergesellschaften untereinander vereinbarte Verteilung der Mietzinse für ihre Ladenlokale führen zu einer gleichmässigen Belastung und ist deshalb geschäftsmässig begründet, weshalb keine verdeckte Gewinnausschüttungen vorliegen. Da der statutarische Sitz unstreitig lediglich formeller Natur war, ist auf den tatsächlichen Sitz abzustellen, welcher am Wohnort des Geschäftsführers liegt, da nur dort Büroräume vorhanden sind. Der Vorausanteil ist indessen zu kürzen, da aufgrund der Franchisebeziehung zu einem Grossanbieter der Umfang der verbleibenden Geschäftsführungsaufgaben gering ist.</w:t>
      </w:r>
    </w:p>
    <w:p>
      <w:pPr>
        <w:pStyle w:val="Heading2"/>
      </w:pPr>
      <w:r>
        <w:t>Erwägungen</w:t>
      </w:r>
    </w:p>
    <w:p>
      <w:r>
        <w:rPr>
          <w:b/>
        </w:rPr>
        <w:t>E. 1</w:t>
      </w:r>
    </w:p>
    <w:p>
      <w:r>
        <w:t>ST.2014.5</w:t>
      </w:r>
    </w:p>
    <w:p>
      <w:r>
        <w:t>- 12 - auch der von der F AG zu bezahlende Kostenanteil zum Ansatz von 16% des Umsates als den Verhältnissen angemessen und besteht auch hier keine Veranlassung für eine Korrektur. cc) Das kantonale Steueramt begründet die Aufrechnung in erster Linie damit, dass im Mietvertrag mit dem Einkaufszentrum Q eine Umsatzmiete von 6,5% verein- bart wurde, und übernimmt diesen Wert als Drittvergleich (Revisionsbericht S. 11). Es verkennt damit bezüglich des Mietobjekts in K indessen, dass die von der Hauptver- mieterin in Rechnung gestellten Beträge eben gerade nicht auf der Umsatzmiete beru- hen, sondern dass die höheren fixen Mindestmieten zu Anwendung gelangen, welche an den Umsätzen der Pflichtigen und der F AG gemessen erheblich höher liegen als 6,5%. Beim Einkaufszentrum Q war demgegenüber die Umsatzmiete höher als die Mindestmiete. Die Umsatzmiete im Einkaufszentrum Q erweist sich damit hinsichtlich der Miete in K als untaugliche Vergleichsgrundlage. Die von der Pflichtigen gewählte Lösung führt demgegenüber zu einer gleichmässigen Kostenverteilung und ist damit geschäftlich gerechtfertigt. Insgesamt erweisen sich damit die Einschätzungen als zu hoch und sind zu korrigieren. Dies führt zur Gutheissung des Rekurses in diesem Punkt. Bezüglich der Miete in L stellt sich die Frage nach der Geschäftsmässigkeit der von der F AG bezahlten Miete angesichts des Umstands, dass die F AG mit 16% ihres Umsatzes mehr bezahlt als die Gesamtmiete am Gesamtumsatz ausmacht, ohnehin nicht und fährt die Pflichtige damit noch gut.</w:t>
      </w:r>
    </w:p>
    <w:p>
      <w:r>
        <w:rPr>
          <w:b/>
        </w:rPr>
        <w:t>E. 1.1</w:t>
      </w:r>
    </w:p>
    <w:p>
      <w:r>
        <w:t>31.12.2011 mit einem steuerbaren Reingewinn von Fr. 85'800.- und einem steu- erbaren Eigenkapital von Fr. 190'000.- einzuschätzen; eventualiter sei der Fall an die Vorinstanz zur Neueinschätzung zurückzuweisen. Ferner beantragte sie die Zuspre- chung einer Parteientschädigung. Die Voraussetzungen für die Vornahme einer Ein- schätzung nach pflichtgemässem Ermessen seien nicht erfüllt gewesen. Die Bedin- gungen der Untermietverträge seien anlässlich der Revision mit dem Buchprüfer besprochen worden, sodass keine Unklarheit mehr bestanden habe. Das Kantonale Steueramt habe die Höhe der Schätzungen nicht begründet. Schriftliche Mietverträge der Pflichtigen mit der F AG gebe es nicht. Buchungsdifferenzen zwischen der F AG und ihr seien auf die unterschiedliche Art der Verbuchung des Mietzinses zurückzufüh- ren. Eine genauere Analyse ergäbe aber, dass die Mietzinse aus Untermiete jeweils</w:t>
      </w:r>
    </w:p>
    <w:p>
      <w:r>
        <w:rPr>
          <w:b/>
        </w:rPr>
        <w:t>E. 2</w:t>
      </w:r>
    </w:p>
    <w:p>
      <w:r>
        <w:t>a) Nach einem feststehenden Grundsatz des interkantonalen Doppelbe- steuerungsrechts sind bei interkantonalen Unternehmungen stets der Gesamtgewinn und das Gesamtkapital nach Quoten auf die Betriebstättekantone und den Hauptsitz- kanton aufzuteilen (Höhn/Mäusli, Interkantonales Steuerrecht, 4. A., 2000, § 26 N 3 mit Hinweisen). Die den einzelnen Kantonen zustehenden Quoten können aufgrund der Buchhaltungen der einzelnen Betriebsstätten (direkte Methode) oder aufgrund von Hilfskriterien (indirekte Methode), d.h. nach Massgabe äusserer betrieblicher Merkmale wie Umsatz, Erwerbsfaktoren etc., bestimmt werden. Nach der Rechtsprechung des Bundesgerichts verdient die direkt-quotenmässige Ermittlung aufgrund der Buchhal- tungsergebnisse grundsätzlich den Vorzug. Sie setzt aber voraus, dass für die Be- triebsstätten getrennte Buchhaltungen vorliegen und sich in der Betriebsstätte ein voll- ständiger Handels- oder Fabrikationsbetrieb mit weitgehender Selbständigkeit und 1 ST.2014.5</w:t>
      </w:r>
    </w:p>
    <w:p>
      <w:r>
        <w:t>- 13 - einer eigenen örtlichen Geschäftsleitung befindet (BGr, 31. August 2004, StE 2005 A 24.44.3 Nr. 1 = StR 2005, 107). Die Grundregel der Gewinnausscheidung nach Hilfsfaktoren geht dahin, den Gesamtgewinn der Unternehmung nach der Bedeutung, welche den einzelnen Be- triebsstätten (inkl. Hauptsitz) für die Erzielung dieses Gewinns zukommt, auf die Be- triebsstätten (inkl. Hauptsitz) aufzuteilen (Höhn/Mäusli, § 26 N 23; BGE 93 I 422 = Pra 57 Nr. 25 = StR 1968, 273). Bei Handels- und Dienstleistungsunternehmen dient der in den Betriebsstätten und am Hauptsitz erzielte Umsatz als Schlüssel für die Er- mittlung der Gewinnsteuerquoten (Höhn/Mäusli, § 26 N 35). Dies kann indessen zu einem Ergebnis führen, welches der Tätigkeit der Zentralleitung und deren Einfluss auf das Geschäftsergebnis zu wenig Rechnung trägt, indem die für den Hauptsitz rechne- risch ermittelte Quote, gemessen an dessen Bedeutung für das Gesamtunternehmen, zu niedrig ausfällt. Das trifft namentlich bei der (indirekten) Aufteilung nach Umsätzen zu, weniger dagegen bei der Ausscheidung nach Erwerbsfaktoren. In diesen Fällen ist der Bedeutung des Hauptsitzes nach der bundesgerichtlichen Rechtsprechung durch Zuweisung eines Vorausanteils (Präzipuums) am Gewinn an den Hauptsitz Rechnung zu tragen. Der Vorausanteil ist somit "ein Korrekturfaktor, der dazu bestimmt ist, einen Ausgleich zu schaffen, wo besondere Verhältnisse bei der ordentlichen Ausscheidung nicht genügend zur Geltung kommen" (Locher/Locher, Die Praxis der Bundessteuern, III. Teil: Das interkantonale Doppelbesteuerungsrecht, Systematische Entscheidsamm- lung, § 8, II C, 6 Nr. 27). Zu den zentralen Funktionen, welche mit dem Vorausanteil berücksichtigt werden sollen, gehören nicht nur leitende und koordinierende Tätigkei- ten des Sitzes, sondern ebenso weitere zentrale Unternehmensfunktionen wie bei- spielsweise Wareneinkauf, zentraler Rechtsdienst und zentrale Datenverarbeitung (Teuscher/Lobsiger, Kommentar zum Schweizerischen Steuerrecht, Interkantonales Steuerrecht, 2011, § 31 N 5). Die Höhe des Vorausanteils ist eine Ermessenfrage. In der Regel wird er auf 10 bis 20% festgesetzt, wobei bei Handelsunternehmen 20% die Regel sind (Höhn/Mäusli, § 26 N 31b und 38, Teuscher/Lobsiger, § 31 N 36). b) Die Pflichtige führte keine Betriebstättebuchhaltungen, weshalb das kanto- nale Steueramt zu Recht gestützt auf das Hilfskriterium Umsatz eine Ausscheidung nach der indirekten Methode vorgenommen hat. Damit stellt sich die Frage eines Vor- ausanteils für den Hauptsitz. Die Pflichtige hatte bis zum ... Mai 2011 ihren statutari- schen Sitz in H. Die Parteien sind sich einig, dass die per diesen Stichtag erfolgte Sitz- verlegung nach I rein formell war und keinen neuen Gesellschaftssitz begründete. Das 1 ST.2014.5</w:t>
      </w:r>
    </w:p>
    <w:p>
      <w:r>
        <w:t>- 14 - kantonale Steueramt hat deshalb auch für 2011 den Sitz in H beansprucht und dem Kanton Zürich einen Vorausanteil zugewiesen. Die Pflichtige macht dagegen geltend, für die Steuerperiode 2011 sei auf den faktischen Sitz abzustellen, welcher sich am Wohnsitz ihres Geschäftsführers in E befunden habe, weshalb der Vorausanteil dem Kanton Aargau zuzuweisen sei. aa) Die steuerrechtliche Zugehörigkeit bestimmt sich vorab nach dem Ort des Sitzes, sofern er nicht nur formeller Natur ist (Richner/Frei/Kaufmann/Meuter, § 55 N 7 StG). Im letzteren Fall (so genanntes Briefkastendomizil) ist auf den Ort der tatsächli- chen Geschäftsführung abzustellen. Dieser liegt nach der Rechtsprechung des Bun- desgerichts dort, wo eine Gesellschaft ihren wirtschaftlichen und tatsächlichen Mittel- punkt hat bzw. wo die normalerweise am Sitz sich abspielende Geschäftsführung besorgt wird (BGr, 16. Mai 2013, 2C_1086/2012, E 2.2, mit Hinweisen, auch zum Fol- genden; Richner/Frei/Kaufmann/Meuter, § 55 N 11 ff. StG). Massgebend ist somit die Führung der laufenden Geschäfte im Rahmen des Gesellschaftszwecks. Dabei ist es kaum denkbar, dass die tatsächliche Verwaltung im Auftragsverhältnis von Dritten aus- geübt wird (BGr, 8. September 2003, 2A.560/2002, E. 5.2.2). Das Bundesgericht grenzt die Geschäftsleitung ab von der blossen administrativen Verwaltung einerseits und der Tätigkeit der obersten Gesellschaftsorgane anderseits, soweit letztere sich auf die Ausübung der Kontrolle über die eigentliche Geschäftsleitung und gewisse Grundsatzentscheide beschränkt. Entscheidend ist jener Ort, wo die Fäden der Ge- schäftsführung zusammenlaufen und die wesentlichen Unternehmensentscheide fal- len. Abzustellen ist somit auf den Ort der Führung der laufenden Geschäfte im Sinn der obersten Leitung der operationellen Betriebsführung (vgl. Übersicht in Heilinger/Maute, Der Begriff der tatsächlichen Verwaltung im interkantonalen und internationalen Ver- hältnis bei den direkten Steuern, StR 2008, 742 ff.). Findet die Geschäftsleitung in diesem Sinn an verschiedenen Orten statt, so kommt es auf das Zentrum, d.h. den Mittelpunkt dieser Tätigkeit an. Nicht entschei- dend ist der Ort der Verwaltungsratssitzungen, der Generalversammlungen oder der Wohnsitz der Aktionäre (BGr, 4. Dezember 2003, 2A.321/2003 E. 3.1 = ASA 75 S. 294; Athanas/Giglio in: Kommentar zum schweizerischen Steuerrecht, Band I/2a, 2. A., 2008, Art. 50 N 12 ff. DBG). Liegt die Geschäftsführung und Verwaltung einer Gesell- schaft aber ausschliesslich in den Händen eines einzigen Aktionärs und Verwaltungs- rats, kann auch sein Wohnsitz als Mittelpunkt der geschäftlichen Tätigkeiten gelten, wenn die Handlungen, die im Rahmen der Geschäftsführung und Verwaltung vorge- 1 ST.2014.5</w:t>
      </w:r>
    </w:p>
    <w:p>
      <w:r>
        <w:t>- 15 - nommen werden, auf verschiedene Orte entfallen und die Gesellschaft nicht über feste Einrichtungen und Personal verfügt (Peter Locher, Die Praxis der Bundessteuern III. Teil: Das interkantonale Doppelbesteuerungsrecht, § 4, IB Nr. 11 sowie Heilin- ger/Maute, StR 2008, 757). bb) Nach Sachdarstellung der Pflichtigen wird die Geschäftsführung durch D allein wahrgenommen. Diesem stehe hierzu an seinem Wohnort in E eine Büroinfra- struktur zur Verfügung. Die gesamte Planung, Entscheidfindung und Ausführung der unternehmerischen Entscheide finde dort statt. Auch die anderen Mitglieder des Ver- waltungsrats hätten ihren Wohnsitz in E. In H verfüge die Pflichtige demgegenüber über keine Büros; einzig die Buchhaltung werde durch einen beauftragten Treuhänder in H erledigt. Auf Auflage erklärte die Pflichtige mit Eingabe vom 30. April 2014, D nehme folgende Aufgaben war: Verarbeitung der Tagesabrechnungen, Vorbereitung der Buchhaltungsunterlagen, Anfertigung der Umsatzstatistiken, Kontrolle der Post- und Bankkonti, Auslösung von Zahlungen, Personalwesen (Ausarbeitung Arbeitsver- träge, Führung der Personaldossiers), Erarbeitung und Kontrolle von Umbauprojekten. Er suche die einzelnen Filialen im Durchschnitt zweimal pro Woche auf, wobei er sich jeweils rund 1 ½ Stunden dort aufhalte. Die Leitung der Filialen erfolge durch Filialleite- rinnen. Die Bestimmung des Sortiments und die laufende Assortierung der Ware erfol- ge automatisch datengesteuert über das von der Franchisegeberin J AG zur Verfügung gestellte Kassensystem. Die R werde durch diese erstellt, ebenso die Präsentation der Ware. Die F AG habe in E zwei grosse Räume in einer Scheune von 164,43 m2 gemie- tet, welche diese als Büro, zur Warenanlieferung und als Zwischenlager nutze; diese würden von der Pflichtigen zur Hälfte mitbenützt. D habe einzig dort einen festen Ar- beitsplatz. Dort würden auch die wichtigsten Geschäftsunterlagen abgelegt. Die Dau- erverträge der Rekurrentin erschöpften sich im Franchisevertrag mit der J AG. Aus diesen Ausführungen ergibt sich zunächst, dass die Geschäftsführung in der Person von D konzentriert ist, woraus zu schliessen ist, dass sie dort örtlich veran- kert ist, wo er üblicherweise tätig ist. Nach dem vorgelegten Mietvertrag verfügt die Pflichtige im Q in H über keine Büroflächen (nur Verkaufsraum und Lagerraum). Mit Bezug auf die Filiale im Einkaufszentrum in L geht die Art der gemieteten Flächen aus den vorgelegten Nachträgen zum Mietvertrag nicht unmittelbar hervor; indessen zeigen die Planskizzen und Fotos keine Büroräume. Fehlt es damit bereits an den örtlichen Voraussetzungen in den genannten Filialen, so spricht dies bereits gegen die Annah- me, dass die tatsächliche Geschäftsführung im Kanton Zürich erfolgt ist. Demgegen- 1 ST.2014.5</w:t>
      </w:r>
    </w:p>
    <w:p>
      <w:r>
        <w:t>- 16 - über kann als erwiesen gelten, dass dem Geschäftsführer die von der F AG gemieteten Lagerräumen zur Mitbenutzung zur Verfügung stehen, und dass dort eine Büroinfra- struktur besteht. Es erscheint als naheliegend, dass er in diesen Räumen, welche zu- dem nahe an seinem Wohnort liegen, auch die administrativen Aufgaben für die Pflich- tige erledigte. Dies spricht dafür, dass der Ort der tatsächlichen Geschäftsführung sich effektiv in E befand. cc) Mit Bezug auf die Höhe des Vorausanteils fällt indessen in Betracht, dass ein Grossteil der Aufgaben, welche üblicherweise am Hauptsitz wahrgenommen wer- den und den Vorausanteil rechtfertigen, aufgrund der grossen Abhängigkeit der Pflich- tigen von der J AG und den resultierenden automatisierten Abläufen gar nicht anfallen. Dies betrifft insbesondere die Auswahl des Sortiments, den Wareneinkauf und Präsen- tation. Weiter hält sich der Geschäftsführer jeweils zweimal pro Woche rund 1 ½ Stun- den in den Filialen auf. Mithin ist der Umfang der verbleibenden Geschäftsführungs- aufgaben, welche in E wahrgenommen werden müssen, geringer als sonst üblich. Dies rechtfertigt es, den Vorausanteil zu kürzen und auf 10% festzusetzen. c) Mit Bezug auf die Steuerperiode 1.1. - 31.12.2010 ist die Pflichtige dem- nach antragsgemäss einzuschätzen. Für die Steuerperiode 1.1. - 31.12.2011 ergibt sich folgende Einschätzung: ZH AG OW Gesamt Fr. Fr. Fr. Fr. Ertragsausscheidung nach Umsatz 3'295'791.- 1'941'759.- 0.- 5'237'550.- 62,93% 37,07% 0% 100% Reingewinn gemäss Erfolgsrechnung 118'144.- Aufrechnung Managementfee (nicht streitig) 52'375.- Reingewinn 170'519.- - Vorausanteil 10% 17'052.- - 17'052.- Rest nach Quoten 96'576.- 56'891.- 0.- 153'467.- steuerbarer Reingewinn 96'576.- 73'943.- 0.- 170'519.- gerundet 96'500.- 73'900.- 170'500.-. 1 ST.2014.5</w:t>
      </w:r>
    </w:p>
    <w:p>
      <w:r>
        <w:t>- 17 -</w:t>
      </w:r>
    </w:p>
    <w:p>
      <w:r>
        <w:rPr>
          <w:b/>
        </w:rPr>
        <w:t>E. 3</w:t>
      </w:r>
    </w:p>
    <w:p>
      <w:r>
        <w:t>Gestützt auf diese Erwägungen ist der Rekurs teilweise gutzuheissen. Aus- gangsgemäss sind die Kosten des Verfahrens den Parteien anteilsmässig aufzuerle- gen (§ 151 Abs. 1 StG). Der Pflichtigen ist aufgrund ihres weit überwiegenden Obsie- gens eine Parteientschädigung zuzusprechen (§ 152 StG i. V. m. § 17 Abs. 2 des Verwaltungsrechtspflegegesetzes vom 24. Mai 1959/8. Juni 1997,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