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ST.2014.265 vom 27. Februar 2015</w:t>
      </w:r>
    </w:p>
    <w:p>
      <w:r>
        <w:t>ZH Steuerrekursgericht, 2015-02-27, DE</w:t>
      </w:r>
    </w:p>
    <w:p>
      <w:r>
        <w:rPr>
          <w:b/>
        </w:rPr>
        <w:t xml:space="preserve">Quelle: </w:t>
      </w:r>
      <w:r>
        <w:t>https://mcp.opencaselaw.ch/entscheid/zh_steuerrekursgericht_ST.2014.265</w:t>
      </w:r>
    </w:p>
    <w:p>
      <w:r>
        <w:t>FR: ZH_STEUERREKURSGERICHT ST.2014.265 du 27 février 2015</w:t>
      </w:r>
    </w:p>
    <w:p>
      <w:r>
        <w:t>IT: ZH_STEUERREKURSGERICHT ST.2014.265 del 27 febbraio 2015</w:t>
      </w:r>
    </w:p>
    <w:p>
      <w:pPr>
        <w:pStyle w:val="Heading2"/>
      </w:pPr>
      <w:r>
        <w:t>Regeste</w:t>
      </w:r>
    </w:p>
    <w:p>
      <w:r>
        <w:t>Gemischte Gesellschaft. Die als Entwicklerin und Vertreiberin von Finanzprodukten tätige Pflichtige übt damit eine Geschäfts-, nicht eine Verwaltungstätigkeit aus. Sie könnte damit nur dann in den Genuss der privilegierten Besteuerung als gemischte Gesellschaft kommen, wenn neben der überwiegenden Tätigkeit im Ausland sie auf Anweisung aus dem Ausland tätig wäre. Dies ist nicht der Fall.</w:t>
      </w:r>
    </w:p>
    <w:p>
      <w:pPr>
        <w:pStyle w:val="Heading2"/>
      </w:pPr>
      <w:r>
        <w:t>Erwägungen</w:t>
      </w:r>
    </w:p>
    <w:p>
      <w:r>
        <w:rPr>
          <w:b/>
        </w:rPr>
        <w:t>E. 1</w:t>
      </w:r>
    </w:p>
    <w:p>
      <w:r>
        <w:t>ST.2014.265</w:t>
      </w:r>
    </w:p>
    <w:p>
      <w:r>
        <w:t>- 4 - c. die übrigen Einkünfte aus dem Ausland werden nach der Bedeutung der Verwaltungstätigkeit in der Schweiz ordentlich besteuert; d. der geschäftsmässig begründete Aufwand, der mit bestimmten Einkünften in wirtschaftlichem Zusammenhang steht, wird von diesen vorweg abgezo- gen. Verluste auf Beteiligungen im Sinn von lit. a können nur mit Erträgen gemäss lit. a verrechnet werden.</w:t>
      </w:r>
    </w:p>
    <w:p>
      <w:r>
        <w:rPr>
          <w:b/>
        </w:rPr>
        <w:t>E. 2</w:t>
      </w:r>
    </w:p>
    <w:p>
      <w:r>
        <w:t>a) aa) Gemäss den nicht bestrittenen Feststellungen des kantonalen Steu- eramts entwickelte die Pflichtige massgeschneiderte strukturierte Produkte für Anlage- fonds institutioneller Kunden und für vermögende Privatkunden. Der Marktzugang er- folgte über einen unabhängigen Dritten. Die Vermittlungsprovisionen für die Kunden- akquisitionen gingen an zwei ausländische Gesellschaften. Die Emission erfolgte über ausländische Banken, die Zeichnung/Abwicklung für Direktkunden über die Pflichtige und für indirekte Kunden über Vertriebspartner. Die Pflichtige beschäftigte ihren Ge- schäftsführer sowie einen angestellten Finanzmathematiker, welche beide im Kanton Zürich wohnhaft waren. Während die Problemstellung durch den Geschäftsführer mit dem Kunden vor Ort im Ausland analysiert wurde, erfolgte die Problemlösung sowie die Spezifikation der Derivate in den Räumen der Pflichtigen in Gemeinde B durch die beiden Angestellten. In den beiden ersten Geschäftsperioden benutzte sie vier Zimmer in der Privatliegenschaft des Geschäftsführers, ab 2012 mietete sie in der Nachbarlie- genschaft Büroräumlichkeiten. 1 ST.2014.265</w:t>
      </w:r>
    </w:p>
    <w:p>
      <w:r>
        <w:t>- 7 - bb) Die Pflichtige hat zur Begründung des Status als gemischte Gesellschaft für die Steuerperiode 1.1. - 31.12.2011 eine Spartenrechnung vorgelegt. Darin wies sie den gesamten Ertrag von Fr. 5'992'042.- dem Ausland zu. Beim Aufwand schied sie dem Ausland einen Dienstleistungsaufwand von Fr. 4'013'364.- zu; den übrigen Auf- wand teilte sie auf in einen Inlandanteil von Fr. 97'018.- und einen ausländischen Anteil von Fr. 685'784.-. Weiter macht sie geltend, dass sie die Voraussetzungen für eine Besteuerung als gemischte Gesellschaft in geradezu idealtypischer Weise erfülle: Praktisch der gesamte Bruttoertrag stamme aus dem Ausland, und mehr als 80% der Leistungserstellung entfalle auf ausländische Parteien. Die von ihr konstruierten Fi- nanzprodukte würden von nicht-schweizerischen Interessenten gezeichnet. Zwischen den ausländischen Kunden und Zahlungsempfängern würden keine direkten wirtschaft- lichen Beziehungen bestehen, welche es rechtfertigen würden, eine Verrechnung vor- zunehmen. Die gesamte Tätigkeit aller involvierten Parteien (Emittenten, Investoren, Endkunden, ausländische Depotbanken, ausländische Anwälte und Spezialisten) sei extrem international orientiert. Diese internationale Ausrichtung komme auch in der Spartenrechnung und der sehr intensiven Reisetätigkeit des Geschäftsführers zum Ausdruck. Zudem hätten auch die dem Inland zuzuordnenden Aufwendungen durch die intensive Reisetätigkeit des Geschäftsführers ebenfalls eine starke Auslandorientie- rung. Die in der Schweiz erfolgte Verarbeitung der Aufträge habe den Charakter einer Hilfstätigkeit, die im Jahr 2010 noch von einer Gruppengesellschaft eingekauft worden sei; 2011 sei der betreffende Mitarbeiter direkt von der Pflichtigen angestellt worden zu einem Salär von Fr. 150'000.-. b) Als erstes ist festzustellen, dass die Aktivitäten der Pflichtigen für sich – ungeachtet der Frage der Lokalisierung – eine Geschäftstätigkeit und nicht eine Ver- waltungstätigkeit darstellen. Im Kern handelt es sich um die Entwicklung und den Ver- trieb von spezialisierten Finanzprodukten an Kunden. Damit ist auch ein Marktauftritt verbunden, indem Kunden mit hohem Provisionseinsatz akquiriert werden. Die Finanz- produkte selbst werden durch Analyse von Kundenbedürfnissen und unter Einsatz von spezialisiertem finanzmathematischem Fachwissen entwickelt, sodass die Aktivitäten auch eine Beratungskomponente enthalten. All dies geht weit über den Rahmen von Hilfstätigkeiten wie die Verwertung immaterieller Rechte, Vermittlung von Know-How sowie Fakturierung und Inkasso hinaus. Selbst wenn man unterstellt, dass diese Aktivitäten ohne jeden Bezug zum schweizerischen Markt entfaltet wurden, stellen sie nach der zürcherischen Praxis ge- 1 ST.2014.265</w:t>
      </w:r>
    </w:p>
    <w:p>
      <w:r>
        <w:t>- 8 - mäss Ziff. 43 der Weisung von vornherein nur dann Geschäftstätigkeiten im Ausland dar, wenn sie im Rahmen von Anweisungen aus dem Ausland erfolgten. Als solche gelten nach Ziff. 44 der Weisung allgemeine oder konkrete Weisungen der geschäfts- leitenden Organe. Der Geschäftsführer der Pflichtigen hielt sich nun zwar nach ihren Ausführungen aufgrund seiner intensiven Reisetätigkeit 2009/2010 95 Arbeitstage und 2011 180 Arbeitstage im Ausland auf. Dies reicht indessen – weil in keiner Art und Weise überwiegend – nicht aus, um als Leitung aus dem Ausland zu qualifizieren, zu- mal der Geschäftsführer selbst seinen Wohnsitz in Gemeinde B hatte und die Pflichtige zumindest im ersten Geschäftsjahr dort und später in der Nachbarliegenschaft über Büroräume verfügte. Nicht zum Tragen kommt auch der zweite in Ziff. 44 der Weisung erwähnte Fall der sich im Ausland befindenden übergeordneten Leitungsorgane bei Konzerngesellschaften. Die Pflichtige gehört einer Holding, welche ebenfalls Sitz in Gemeinde B hat und dem Geschäftsführer gehört. Fehlt es damit bereits am Tätigwerden aufgrund von Anweisungen aus dem Ausland, stellen die Aktivitäten der Pflichtigen von vornherein keine Verwaltungstätig- keiten in der Schweiz dar und sind die Voraussetzungen für die Gewährung des Status als gemischte Gesellschaft nicht erfüllt.</w:t>
      </w:r>
    </w:p>
    <w:p>
      <w:r>
        <w:rPr>
          <w:b/>
        </w:rPr>
        <w:t>E. 3</w:t>
      </w:r>
    </w:p>
    <w:p>
      <w:r>
        <w:t>Für den damit eingetretenen Fall beantragt die Pflichtige, es sei für die zu- sätzlichen Steuern aufwandmindernd eine Steuerrückstellung zuzulassen. Zum geschäftsmässig begründeten Aufwand juristischer Personen gehören gemäss § 65 Abs. 1 lit. a StG auch Steuern. Abzugsberechtigt sind die bezahlten und/oder geschuldeten Steuern von Bund und Kanton sowie des Auslands (Steuerbus- sen ausgenommen). Nach dem Imparitätsprinzip dürfen Gewinne erst im Zeitpunkt der Realisation erfasst werden, während Vermögensabgänge ohne Gegenleistung bereits im Zeitpunkt, in dem sie erkennbar sind, bzw. spätestens bei der folgenden Bilanzer- stellung berücksichtigt werden müssen. Für im Zeitpunkt der Bilanzerstellung noch nicht veranlagte, aber gleichwohl geschuldete Steuern sind daher Rückstellungen zu bilden. Nach einem neuen Entscheid des Bundesgerichts (19. Dezember 2014, 2C_1218/2013 bzw. 2C_1219/2013 E. 5.5) haben bei Aufrechnungen die Steuerbehör- den die Steuerrückstellung von Amtes wegen zu erhöhen. Damit ist die abweichende 1 ST.2014.265</w:t>
      </w:r>
    </w:p>
    <w:p>
      <w:r>
        <w:t>- 9 - frühere Praxis im Kanton Zürich überholt (RB 1999 Nr. 141 = ZStP 2000, 31; Rich- ner/Frei/Kaufmann/Meuter, Kommentar zum Zürcher Steuergesetz, 3. A., 2013, § 65 N 6 StG). Gestützt auf diese neue höchstrichterliche Vorschrift ist die beantragte Steu- errückstellung zu gewähren. Gemäss dem Berechnungstool auf der Webseite des kantonalen Steueramts (www.steueramt.zh.ch) ergibt sich für die Steuerperiode 1.9.2009 - 31.12.2010 eine Steuerrückstellung von Fr. 50'496.- und für die Steuerperiode 1.1.2011 - 31.12.2011 von Fr. 173'232.-. Dies ergibt folgende Korrekturen: Steuerperiode 1.9.2009 - 31.12.2010 1.1.2011 - 31.12.2011 Reingewinn Eigenkapital Reingewinn Eigenkapital Fr. Fr. Fr. Fr. gemäss Einschätzung 265'735.- 134'735.- 910'509.- 636'572.- Steuerrückstellung 50'496.- 50'496.- 173'232.- 173'232.- neu 215'239.- 84'239.- 737'277.- 463'340.- gerundet 215'200.- 84'000.- 737'200.- 463'000.-.</w:t>
      </w:r>
    </w:p>
    <w:p>
      <w:r>
        <w:rPr>
          <w:b/>
        </w:rPr>
        <w:t>E. 4</w:t>
      </w:r>
    </w:p>
    <w:p>
      <w:r>
        <w:t>Gestützt auf diese Erwägungen ist der Rekurs teilweise gutzuheissen. Bei diesem Ausgang sind die Kosten den Parteien anteilsmässig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