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ST.2010.223 vom 28. Mai 2010</w:t>
      </w:r>
    </w:p>
    <w:p>
      <w:r>
        <w:t>ZH Steuerrekursgericht, 2010-05-28, DE</w:t>
      </w:r>
    </w:p>
    <w:p>
      <w:r>
        <w:rPr>
          <w:b/>
        </w:rPr>
        <w:t xml:space="preserve">Quelle: </w:t>
      </w:r>
      <w:r>
        <w:t>https://mcp.opencaselaw.ch/entscheid/zh_steuerrekursgericht_ST.2010.223</w:t>
      </w:r>
    </w:p>
    <w:p>
      <w:r>
        <w:t>FR: ZH_STEUERREKURSGERICHT ST.2010.223 du 28 mai 2010</w:t>
      </w:r>
    </w:p>
    <w:p>
      <w:r>
        <w:t>IT: ZH_STEUERREKURSGERICHT ST.2010.223 del 28 maggio 2010</w:t>
      </w:r>
    </w:p>
    <w:p>
      <w:pPr>
        <w:pStyle w:val="Heading2"/>
      </w:pPr>
      <w:r>
        <w:t>Regeste</w:t>
      </w:r>
    </w:p>
    <w:p>
      <w:r>
        <w:t>Beim Vergütungszins, den das Steueramt dem Steuerpflichtigen für vor der Schlussrechnung geleistete Akontozahlungen gutschreibt, handelt es sich um einen Zins im Sinn von § 20 Abs. 1 lit. a StG und damit um steuerbares Einkommen.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ST.2010.223 Entscheid</w:t>
      </w:r>
    </w:p>
    <w:p>
      <w:r>
        <w:rPr>
          <w:b/>
        </w:rPr>
        <w:t>E. 3</w:t>
      </w:r>
    </w:p>
    <w:p>
      <w:r>
        <w:t>Bei diesem Ausgang des Verfahrens hat der Pflichtige die Kosten zu tragen (Art. 151 Abs. 1 StG) und steht ihm keine Parteientschädigung zu (§ 152 StG i.V.m. § 17 Abs. 2 des Verwaltungsrechtspflegegesetzes vom 24. Mai 1959/8. September 1987).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