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ST.2010.156 vom 12. Juli 2005</w:t>
      </w:r>
    </w:p>
    <w:p>
      <w:r>
        <w:t>ZH Steuerrekursgericht, 2005-07-12, DE</w:t>
      </w:r>
    </w:p>
    <w:p>
      <w:r>
        <w:rPr>
          <w:b/>
        </w:rPr>
        <w:t xml:space="preserve">Quelle: </w:t>
      </w:r>
      <w:r>
        <w:t>https://mcp.opencaselaw.ch/entscheid/zh_steuerrekursgericht_ST.2010.156</w:t>
      </w:r>
    </w:p>
    <w:p>
      <w:r>
        <w:t>FR: ZH_STEUERREKURSGERICHT ST.2010.156 du 12 juillet 2005</w:t>
      </w:r>
    </w:p>
    <w:p>
      <w:r>
        <w:t>IT: ZH_STEUERREKURSGERICHT ST.2010.156 del 12 luglio 2005</w:t>
      </w:r>
    </w:p>
    <w:p>
      <w:pPr>
        <w:pStyle w:val="Heading2"/>
      </w:pPr>
      <w:r>
        <w:t>Regeste</w:t>
      </w:r>
    </w:p>
    <w:p>
      <w:r>
        <w:t>Statutarischer Sitz und Ort der tatsächlichen Verwaltung. Wickelt sich die tatsächliche Verwaltung der AG ausserhalb des Sitzkantons A in einem anderen Kanton B ab und ist der statutarische Sitz mithin rein formell (sog. Briefkastendomizil), so kann der Kanton der tatsächlichen Verwaltung (B) die unbeschränkte Steuerhoheit beanspruchen. - Beweislastverteilung nach Sitzverlegung. Hier scheitert der aus dem Kt. ZH wegziehenden AG obliegende Nachweis, dass sich die tatsächliche Verwaltung an den Ort des neuen statutarischen Sitzes in einem anderen Kanton verschoben hat.</w:t>
      </w:r>
    </w:p>
    <w:p>
      <w:pPr>
        <w:pStyle w:val="Heading2"/>
      </w:pPr>
      <w:r>
        <w:t>Erwägungen</w:t>
      </w:r>
    </w:p>
    <w:p>
      <w:r>
        <w:rPr>
          <w:b/>
        </w:rPr>
        <w:t>E. 2</w:t>
      </w:r>
    </w:p>
    <w:p>
      <w:r>
        <w:t>ST.2010.156 Entscheid</w:t>
      </w:r>
    </w:p>
    <w:p>
      <w:r>
        <w:rPr>
          <w:b/>
        </w:rPr>
        <w:t>E. 3</w:t>
      </w:r>
    </w:p>
    <w:p>
      <w:r>
        <w:t>a) In Bezug auf die Beweislast gilt grundsätzlich, dass es der Behörde ob- liegt, den Wohnsitz bzw. Sitz als steuerbegründende Tatsache darzutun. Dem Steuer- pflichtigen kann freilich der Gegenbeweis für die von ihm behauptete subjektive Steu- erpflicht an einem neuen Ort auferlegt werden, wenn die von der Behörde angenommene bisherige subjektive Steuerpflicht als sehr wahrscheinlich gilt (BGr, 16. Februar 2010, 2C_625/2009; 14. April 2009, 2C_576/2008, je www.bger.ch; vgl. schon ASA 39, 284 E. 3c). Das Bundesgericht hat dies bezüglich des steuerrechtlichen Wohnsitzes, also für natürliche Personen erkannt; doch muss das sinngemäss auch für juristische Personen gelten. Gelingt es der steuerpflichtigen juristischen Person nicht, den Sitzwechsel und dessen realen Hintergrund zu belegen, bleibt es bei der bisheri- gen Domizilzuordnung. Gleich verhält es sich bezüglich des Orts der tatsächlichen Verwaltung einer juristischen Person. All das gilt jedenfalls dann, wenn der Steuer- pflichtige seiner Mitwirkungspflicht im Rahmen des Zumutbaren nachgekommen ist (vgl. zum Ganzen AJP 2008, 1288 E. 2.3; StE 2008 A 24.21 Nr. 18 E. 2.3; Pra 2000 Nr. 7 S. 29 E. 3c; BGr, 4. März 2009, 2C_770/2008 E. 3, www.bger.ch, mit weiteren Hinweisen). b) Selbst wenn eine juristische Person ihren statutarischen Sitz verlegt und zu prüfen ist, ob sie erstmals primär am neuen Sitz unbeschränkt steuerpflichtig ist, ver- bietet es sich, vorschnell auf eine bloss formelle Gestaltung der Verhältnisse zu schliessen. Unterhält sie am Ort ihres neuen statutarischen Sitzes eine wesentliche Büroinfrastruktur (Büroräumlichkeiten, Personal, etc.) für ihren Geschäftsbetrieb, so ist anzunehmen, dass sich dort auch der effektive Sitz befindet. Es obliegt dann dem Kan- ton des früheren Sitzes, den Nachweis zu erbringen, dass sich die eigentliche Ge- schäftsführung und Verwaltung, d. h. die leitende Tätigkeit, in Wirklichkeit weiterhin unter seiner Steuerhoheit abspielt (StE 2009 A 24.22 Nr. 6 E. 2.3; StE 1984 A 24.22 Nr. 1 E. 2b). 2 ST.2010.156</w:t>
      </w:r>
    </w:p>
    <w:p>
      <w:r>
        <w:t>- 9 -</w:t>
      </w:r>
    </w:p>
    <w:p>
      <w:r>
        <w:rPr>
          <w:b/>
        </w:rPr>
        <w:t>E. 4</w:t>
      </w:r>
    </w:p>
    <w:p>
      <w:r>
        <w:t>a) Bestreitet eine zur Veranlagung herangezogene Person die Steuerhoheit des Kantons, muss grundsätzlich in einem Vorentscheid rechtskräftig über die subjekti- ve Steuerpflicht im Kanton entschieden werden, bevor das Veranlagungsverfahren fortgesetzt werden kann (BGE 131 I 145 E. 2.1, 125 I 54 E. 1a, mit weiteren Hinwei- sen). Ein solcher Steuerdomizilentscheid ist wegen Verletzung von Art. 127 Abs. 3 BV auf dem ordentlichen Rechtsmittelweg anfechtbar (siehe BGr, 22. Dezember 2009, 2C_259/2009). b) Die Pflichtige widersetzt sich der hiesigen Steuerpflicht ab 2. August 2005. Daher hat das kantonale Steueramt mit Verfügung vom 16. November 2009 mit gutem Grund zunächst einen Vorentscheid über die unbeschränkte Steuerpflicht gefällt. Dabei hat es nicht nur die Steuerhoheit für den Kanton Zürich beansprucht, sondern gleich- zeitig jene der Gemeinde C. Ob das Amt auch dazu legitimiert war, ist fraglich, ist es doch letztlich Sache der betroffenen Zürcher Gemeinde, sich für ihre Rechte einzuset- zen. Das konkrete Vorgehen des kantonalen Steueramts ist schon deshalb problema- tisch, weil nicht sicher ist, ob, falls sich die tatsächliche Verwaltung in der Steuerperio- de 2005/06 (weiterhin) im Kanton Zürich abgewickelt haben sollte, diese in C oder in einer anderen Zürcher Gemeinde (so namentlich in G oder H) stattgefunden hat. Allein aus dem Umstand, dass C bis und mit Steuerperiode 2005 (1.1. - 31.7.) Einschät- zungsgemeinde war, lässt sich im vorliegenden Zusammenhang nichts ableiten. Doch mag diese Frage letztlich offenbleiben. Jedenfalls begnügt sich die Steuerrekurskommission II darauf, zu prüfen, ob die Steuerhoheit in der infrage ste- henden Steuerperiode (allein) dem Kanton Zürich zusteht oder nicht.</w:t>
      </w:r>
    </w:p>
    <w:p>
      <w:r>
        <w:rPr>
          <w:b/>
        </w:rPr>
        <w:t>E. 5</w:t>
      </w:r>
    </w:p>
    <w:p>
      <w:r>
        <w:t>a) Die Pflichtige hat den statutarischen Sitz am 2. August 2005 von C nach D verlegt. Gestützt auf diesen Umstand hat die hiesige unbeschränkte Steuerpflicht geendet, es sei denn, die Sitzverlegung erweise sich als rein formell, ohne dass auch die tatsächliche Verwaltung sich vom Kanton Zürich nach K wegverschoben habe. b) Das kantonale Steueramt hat einlässlich dargetan, dass nicht erstellt sei, dass sich die tatsächliche Verwaltung der Pflichtigen ab 2. August 2005 in D abgewi- ckelt habe. Trotz Aufforderung habe es diese versäumt, den entsprechenden Nachweis zu erbringen. Dem widerspricht die Pflichtige; sie hält dafür, die Sitzverlegung sei nicht nur rein formell; vielmehr habe diese einen realen Hintergrund, indem am neuen Sitz 2 ST.2010.156</w:t>
      </w:r>
    </w:p>
    <w:p>
      <w:r>
        <w:t>- 10 - die steuerlich relevanten geschäftsleitenden Aktivitäten entfaltet werden. Wie es sich damit verhält, ist im Folgenden zu klären. c) Die Pflichtige beschäftigte in der Steuerperiode 2005/06 einzig E als Ge- schäftsführer und seine Ehefrau als administrative Mitarbeiterin. Sie erbringt ihre Dienstleistungen nach eigener Darstellung in erster Linie für die I. Diese führt Charter- flüge für wohlhabende Personen und Regierungsmitglieder durch. Aufgabe der Pflichti- gen ist es, potenzielle Kunden für die I oder potenzielle Käufer für Flugzeuge zu vermit- teln. Diese Kunden und Interessenten befinden sich vornehmlich im Ausland. Die Kontakte finden, wenn nicht ausnahmslos, so doch überwiegend jeweils dort statt. Deshalb hat sich E 2005/06 mehrheitlich im Ausland aufgehalten, so namentlich in Russland, Indien, im nahen Osten und in den USA. Die Geschäftstätigkeit spielt sich mithin zur Hauptsache im Ausland ab. d) Bis zur Sitzverlegung hat die tatsächliche Verwaltung der Pflichtigen im Kanton Zürich stattgefunden. Anhaltspunkte sprechen dafür, dass sich insofern die Verhältnisse mit der Sitzverlegung nicht geändert haben. So hat die Pflichtige sowohl den steuerbaren Reingewinn als auch das steuerbare Kapital in der Steuererklärung 2005/06 als vollumfänglich in Zürich steuerbar deklariert. Sodann gaben ihre beiden einzigen Mitarbeitenden in der Steuerklärung 2005, 2006 und 2007 weiterhin C als ihren Arbeitsort an, E daneben allerdings auch noch G und D. Andere Arbeitgeber wie- sen sie mit Ausnahme der I, in welcher E als Verwaltungsrat fungierte, nicht aus.</w:t>
      </w:r>
    </w:p>
    <w:p>
      <w:r>
        <w:rPr>
          <w:b/>
        </w:rPr>
        <w:t>E. 6</w:t>
      </w:r>
    </w:p>
    <w:p>
      <w:r>
        <w:t>Unter diesen Umständen hatte das kantonale Steueramt allen Grund, da- von auszugehen, materiell habe sich auf der Stufe der Verwaltung bezüglich der Ört- lichkeit mit dem Sitzwechsel nichts oder jedenfalls nichts Wesentliches geändert. Es hat die Pflichtige darum verständlicherweise und zu Recht angehalten, die konkreten Verhältnisse in D darzulegen und aufzuzeigen, dass sie die tatsächliche Verwaltung ab August 2005 dort abgewickelt habe. Als Ergebnis dieser Abklärungen ergibt sich fol- gendes Bild: a) In D verfügte die Pflichtige über keine eigenen Büroräumlichkeiten. Sie hat, soweit erkennbar, mit der L, … , in D, am 15. Juni 2005 einen Mietvertrag abgeschlos- sen. Demnach stellte diese der Pflichtigen im Erdgeschoss des Gebäudes … , in D, einen Büroraum, ausgestattet mit einem Arbeitstisch samt Bürostuhl, einem Sitzungs- 2 ST.2010.156</w:t>
      </w:r>
    </w:p>
    <w:p>
      <w:r>
        <w:t>- 11 - tisch mit vier Stühlen, einem Schrank, Beleuchtung, einem Telefon (1 Nummer) sowie einem Internetanschluss zur Verfügung, daneben anscheinend auch noch einen Park- platz. Zudem war die Pflichtige berechtigt, das Sitzungszimmer der Vermieterin nach Absprache mit ihr zu benutzen. Als Mietzins einschliesslich Entgelt für Strom/Wasser, Büroreinigung, Internetanschluss und Telefonkosten waren laut Vertrag Fr. 1'500.- (ohne MWSt) pro Monat vereinbart. Eingeschlossen war sodann die Abgeltung der Gewährleistung des Telefondienstes der Vermieterin für die Pflichtige. Der Beginn des Mietverhältnisses war im Vertrag nicht ausdrücklich genannt; anscheinend sollte es ab sofort bestehen, möglicherweise auch erst ab einem späteren Datum. Denkbar ist nämlich, dass der Mietbeginn auf August 2005 fallen sollte, wie aus dem Umstand zu schliessen ist, dass die Sitzverlegung auf Anfang August vorgesehen war und eine frühere Belastung buchhalterisch nicht erfolgt ist. Die fehlende Angabe des Beginns ist merkwürdig und unüblich, zumal der Vertragsabschluss unter Geschäftsleuten erfolgt ist. Obgleich der Zins laut Vereinbarung monatlich im Voraus zu bezahlen war, hat die Pflichtige im Geschäftsjahr 2005/06 überhaupt keine Entschädigung geleistet. Nicht nur steht diese Tatsache in offensichtlichem Widerspruch zur schriftlichen Abmachung; auch vermag die Pflichtige dafür keine überzeugende Begründung vorzubringen. Die naheliegende Erklärung liegt darin, dass der Mietvertrag nur vorgeschoben war. Die Vermieterin ist ein Treuhandunternehmen mit dem primären Zweck, Beratungen und Dienstleistungen im treuhänderischen Bereich zu leisten. Sie preist sich als kompeten- te Partnerin in Steueroptimierungsfragen an und weist auf ihrer Web-Seite auf die günstigen steuerlichen Rahmenbedingungen im Kanton K hin. Zum Geschäftsmodell solcher Treuhandfirmen gehört mitunter die Zurverfügungstellung von blossen Brief- kästen (Scheindomizilen) für anderswo tätige Gesellschaften. Dass die Pflichtige diese Räumlichkeit im Geschäftsjahr 2005/06 benutzt hat, ist nicht erstellt. Es fehlt allein schon an detaillierten Angaben. Einzige Aktivität, welche an der … konkret abgewickelt worden sein soll und für welche ein Beleg vorliegt, ist die Generalversammlung vom 15. Dezember 2006. Angesichts dessen, dass nebst dem Alleinaktionär, Verwaltungsrat und Geschäftsführer E nur M, Mitarbeiter der Revisions- stelle … in G, als Protokollführer anwesend war, mag es ohnehin erstaunen, dass die- ses Ereignis, welches offenkundig nur von kurzer Dauer gewesen sein kann, in D statt- gefunden haben soll. Wie es sich damit tatsächlich verhalten hat, mag indes offenbleiben, lag dieser Termin doch ausserhalb des streitbetroffenen Zeitraums und ist der Umstand darum ohnehin unbeachtlich. Eine andere Benutzung des Büros an 2 ST.2010.156</w:t>
      </w:r>
    </w:p>
    <w:p>
      <w:r>
        <w:t>- 12 - der … durch die Pflichtige, zu welchen Zwecken auch immer, wird nicht einmal sub- stanziiert behauptet; geschweige denn findet sich ein entsprechender Nachweis. b) Wie die Pflichtige selber zugesteht, war sie auf die Infrastruktur in D fak- tisch gar nicht angewiesen. Sie führte in der Einspracheschrift sogar aus, sie habe "am Sitz in D keine wesentliche Infrastruktur" (S. 6). Im Grund stand diese ihr höchstens zur Verfügung, wurde indes nicht beansprucht. Denn ihre wesentlichen Geschäftsaktivitä- ten, somit auch jene Es, würden, so die Pflichtige, im Ausland entfaltet; daher würden die wichtigen operativen Entscheide dort gefällt. Die Kundentreffen fänden grossmehr- heitlich im Ausland statt. Zusammenkünfte mit den Kunden – sehr wohlhabenden Per- sonen und Regierungsmitgliedern – seien ebenfalls in der Schweiz erfolgt, jedoch nicht in der Privatwohnung des Alleinaktionärs. Abgesehen davon, dass das im Erdgeschoss der … in D gemietete Büro auf Grund des Mietvertrags keinen gehobenen Eindruck macht und wohl kaum der geeignete Ort ist, um die auserlesene Kundschaft zu bedie- nen, macht die Pflichtige geltend, falls Kundenkontakte ausnahmsweise in der Schweiz stattgefunden hätten, habe ihr Geschäftsführer mit den Kontaktpersonen "Zürcher Szenenlokale" aufgesucht. Ein Bezug zu D ist somit nicht vorhanden. Telefonische Gespräche sind nach Angaben der Pflichtigen ausschliesslich mittels "Mobile" erfolgt; auch aus dieser Sicht war die Telefonverbindung in D, soweit überhaupt vorhanden, unnötig und gleichsam tot. c) Die Pflichtige erbringt, wie erwähnt, vornehmlich Dienstleistungen zuguns- ten der I und erwirtschaftet "insbesondere den Umsatz" mit ihr. Insofern bestehen bzw. bestanden – nebst der finanziellen Verwebung (die Pflichtige hält 45% der Aktien der I) – enge wirtschaftliche Beziehungen zwischen beiden. Sodann waren die Gesellschaf- ten auch personell verflochten: E war vom 29. Juli 2005 bis 21. Mai 2007 sowie vom 26. Februar 2008 bis 12. März 2009 Verwaltungsratspräsident bzw. Verwaltungsrat der I mit Einzelunterschriftsberechtigung, danach bis 29. März 2010 deren Verwaltungsrat mit Kollektivunterschrift (zu zweien). Deren Sitz befand sich bis Mai 2009 in G, wo sie zunächst an der …, danach an der … und schliesslich an der … und damit an bevor- zugten Bürolagen in G domizilierte. Unter solchen Umständen lag es nahe, dass die Geschäfte der Pflichtigen tatsächlich von hier und nicht vom Privatdomizil Es aus gelei- tet worden sind. Es mag ohne Weiteres zutreffen, dass die Geschäftsaktivitäten der Pflichtigen sich weitgehend im Ausland und dort verstreut auf diversen Kontinenten und Lokalitäten abgewickelt haben; dabei handelt es sich gleichsam um das Tagesge- schäft. Indes braucht sie naturgemäss einen zentralen Platz, wo ihre tatsächliche Ver- 2 ST.2010.156</w:t>
      </w:r>
    </w:p>
    <w:p>
      <w:r>
        <w:t>- 13 - waltung erfolgt. Dieser befand sich im Geschäftsjahr 2005/06 mit Bestimmtheit weder im Ausland noch in D. Vielmehr ist davon auszugehen, dass die Fäden auf oberster Geschäftsebene in G und auf jeden Fall im Kanton zusammengelaufen sind. Der zent- rale Stützpunkt befand sich eben hier. Die massgeblichen Entscheide zur Ausrichtung und Führung des Geschäfts müssen hier getroffen worden sein, wenn nicht aus- schliesslich, so doch mehrheitlich. Mithin befand sich ihr Mittelpunkt hier. Die enge Ver- flechtung beider Gesellschaften zeigt sich im Übrigen auch darin, dass die gesamten (Handy-)Telefonkosten der Pflichtigen direkt von der I bezahlt worden sind, ungeachtet dessen, ob sie im Zusammenhang mit ihr angefallen sind oder nicht. Von einer saube- ren Trennung der Geschäfte kann keine Rede sein; sonst hätte es auf der Hand gele- gen, die Kosten insofern – und nur insofern – weiterzubelasten, als sie Aktivitäten be- troffen haben, welche im Zusammenhang mit der I standen und deren Interessen berührten. Die Pflichtige verkennt die Lage, wenn sie meint, massgeblich sei der Kun- denkontakt. Entscheidend ist vielmehr, wo die wesentlichen Unternehmensentscheide getroffen werden und wo die operative Betriebsführung stattfindet. Unwesentlich ist der Ort, wo die administrativen Arbeiten entfaltet werden und wo die jährliche Generalver- sammlung abgehalten wird. Bei einer Einmanngesellschaft wie hier von Verwaltungs- ratssitzungen zu sprechen, wäre weltfremd. Verständlicherweise macht die Pflichtige auch gar nicht geltend, es habe sich bei ihr anders verhalten; im Gegenteil gibt sie an, solche Sitzungen hätten nicht stattgefunden. Richtig ist, dass es insofern unbeachtlich ist, wo O ihre Administrativarbeiten und Hilfsfunktionen für die Pflichtige vor- bzw. wahrgenommen hat. Immerhin sei erwähnt, dass die Mitarbeiterin in ihrer Steuererklä- rung angeben hat, ihr Arbeitsort habe sich 2005 und 2006 in G befunden; sodann hat die Pflichtige selber ausgeführt, Frau O habe sie im Mandat der I an deren Sitz in G unterstützt. In diesem Licht sind die Ausführungen der Pflichtigen wenig glaubhaft, wo- nach sich deren Arbeitsplatz seit dem Sitzwechsel nicht (mehr) im Kanton Zürich be- funden habe. Ohnehin ist nicht erstellt, ob und allenfalls in welchem Umfang O tatsäch- lich für die Pflichtige gearbeitet hat. Doch mag das in diesem Zusammenhang offenbleiben. Zwar hält die Pflichtige dafür, eigentlich wäre unter den konkreten Um- ständen auf eine tatsächliche Verwaltung im Ausland zu schliessen; wo genau sich dieser Ort der Konzentration der geschäftlichen Aktivitäten befunden haben soll, ver- schweigt sie indes geflissentlich, wohl mit der Gewissheit und in der Überzeugung, dass unter steuerlichen Aspekten dafür nur ein einziger Ort infrage kommen kann und ein solcher im Ausland, wo auch immer, nicht ernsthaft auszumachen wäre. 2 ST.2010.156</w:t>
      </w:r>
    </w:p>
    <w:p>
      <w:r>
        <w:t>- 14 - d) Keine Bedeutung kommt dem Umstand zu, dass E von der Sitzverlegung am 7. Oktober 2004 bis zum Ausscheiden am 9. Februar 2010 im Handelsregister ein- getragener Direktor der P, D, gewesen ist. Diese Gesellschaft ist ebenso wie die Pflich- tige (und die L) an der … domiziliert und bezweckt die Erbringung von Dienstleistungen im Transportbereich und beim Betrieb von Flugzeugen. Gemäss Internet-Eintrag soll sie über einen Business-Jet verfügt haben, welcher seit Juli 2006 bei der I im Einsatz stand. Allein schon der Umstand, dass E für seine angebliche Tätigkeit weder 2005 noch 2006 einen Lohn bezogen hat, spricht gegen ein Arbeitsverhältnis. Auch stand ihm – im Gegensatz zum einzigen Verwaltungsrat Q, – keine Einzelunterschrift zu. Die Anstellung erscheint in diesem Licht als künstlich und fingiert. Der besagte Q ist vorab einziges Mitglied der bereits erwähnten L und seit 12. März 2009 Mitglied des Verwal- tungsrats der I. In diesem Sinn bestehen enge persönliche und berufliche Beziehungen zwischen beiden Personen. Im Gegensatz zur P hat die I E für die Ausübung des Ver- waltungsratsmandats entschädigt. e) Unbeachtlich ist letztlich, über welche Adresse sich der Bankverkehr der Pflichtigen abgewickelt hat. Denn eine solche bildet lediglich ein schwaches Indiz, weil insofern erfahrungsgemäss ein grosser Manipulationsspielraum besteht. Darum ist nicht entscheidend, dass in der Berichtsperiode ein Bankbeleg vom 25. Oktober 2005 auf die Adresse … , D, lautet; offenbar soll damit dargetan werden, dass seither die Adresse des statutarischen Sitzes Verwendung gefunden hat. Ohnehin ist darauf hin- zuweisen, dass im Bankverkehr noch am 1. Oktober 2005 die alte Adresse … , C, galt. f) Wenig überzeugend ist das für die Sitzverlegung nach D vorgetragene Ar- gument, weil O im Juli 2005 ihr erstes Kind geboren habe, sei ein Weiterbetrieb des Geschäfts der Pflichtigen in deren Privatwohnung nicht mehr möglich gewesen; ein Wegzug nach D habe darum nahegelegen. Wie gesehen, ist ohnehin zweifelhaft, ob die Verwaltung und die administrativen Arbeiten bis dahin dort stattgefunden haben, auch wenn wenigstens E seinen Arbeitsort teilweise dort gesehen haben will. Auf jeden Fall leuchtet angesichts der engen Zusammenarbeit mit der I in keiner Weise ein, wes- halb der Sitz in diesem Zusammenhang weg von C nach D verlegt worden sein soll. Auf der Hand liegt eben, dass die Tätigkeiten in noch stärkerem Mass nach G ver- schoben worden sind. Kein schlagendes Argument ist der Hinweis auf die (angeblich gute und rasche) Erreichbarkeit Ds mittels Auto von R aus, dem neuen Wohnort der Eheleute. Denn entscheidend sind einzig die konkreten tatsächlichen Verhältnisse. Es ist denn auch kein vernünftiger Grund erkennbar, weshalb E, der wegen überwiegen- 2 ST.2010.156</w:t>
      </w:r>
    </w:p>
    <w:p>
      <w:r>
        <w:t>- 15 - der Tätigkeit im fernen Ausland auf die Benutzung des Flugplatzes Kloten angewiesen war und dessen hiesige berufliche Aktivitäten in G stattgefunden haben, den erhebli- chen und zeitraubenden Umweg über D hätte in Kauf nehmen sollen. g) Lange nach Ablauf der Rekursfrist hat die Pflichtige am 28. Juli 2010 weite- re Belege eingereicht. Zwar hat sie solche, soweit es die Reisetätigkeit von E betrifft, in der Rekursschrift in Aussicht gestellt. Indes hat sie es unterlassen, den Sachverhalt, welchen sie mit den nachgereichten Unterlagen beweisen will, in der Rekursschrift hin- reichend substanziiert darzutun. Die nachgereichte Bestätigung der I ihrerseits wurde damals nicht einmal angekündigt. Ob die nun vorgelegten Belege unter solchen Um- ständen überhaupt beachtlich sind, ist zweifelhaft; doch mag dies letztlich offenbleiben. Denn selbst wenn sie berücksichtigt würden, ergäbe sich kein anderes Bild. Es war nämlich schon aufgrund der bisherigen – beachtlichen und glaubhaften – Ausführun- gen klar, dass E sich 2005 sehr oft im Ausland aufgehalten und vor allem dort seiner beruflichen Tätigkeit nachgegangen ist. Ebenso war das Betätigungsfeld der I bereits aufgrund der bisherigen Darlegungen sowie des Handelsregisterauszugs hinreichend bekannt und wurde nie in Zweifel gezogen, dass deren Mitarbeitende im Bereich "Ver- kauf" sowie der Geschäftsleitung (notwendigerweise) eine rege Reisetätigkeit entfaltet haben. Zudem geht es vorliegend ohnehin nicht um die I, sondern um die Pflichtige und deren Beschäftigte. Beigefügt werden darf, dass im Übrigen nicht einsehbar ist, warum diese Belege erst jetzt (und nicht schon während der Rekursfrist) ins Recht ge- legt worden sind. Anzumerken ist sodann, dass sich die Pflichtige in der Eingabe vom 28. Juli 2010 nicht auf die Bekanntgabe der Rekursantwort bezieht, welche die Steuerrekurs- kommission II ihr mit Post vom 7. Juli 2010 zugestellt hat. Es geht mithin nicht um eine Stellungnahme dazu, welche unter Umständen beachtlich wäre (vgl. BGE 132 I 47; BGr, 12. Juli 2005, 1A.276/2004, www.bger.ch). h) Somit muss es dabei sein Bewenden haben, dass in keiner Weise erstellt ist, dass 2005/06 der statutarische Sitz in D mehr als nur rein formell war und dass auch nur irgendeine geschäftsleitende Tätigkeit dort ausgeübt wurde. Insofern ist der unter den gegebenen Umständen der Pflichtigen obliegende Gegenbeweis der Aus- übung der tatsächlichen Verwaltung in D klarerweise gescheitert. 2 ST.2010.156</w:t>
      </w:r>
    </w:p>
    <w:p>
      <w:r>
        <w:t>- 16 - i) Ist die Pflichtige in der Steuerperiode vom 1. August 2005 bis 31. Juli 2006 mithin ohne Unterbruch vollumfänglich im Kanton Zürich unbeschränkt steuerpflichtig, stellt sich die Frage, ob sie hier allenfalls qua Betriebsstätte beschränkt steuerpflichtig sei, nicht.</w:t>
      </w:r>
    </w:p>
    <w:p>
      <w:r>
        <w:rPr>
          <w:b/>
        </w:rPr>
        <w:t>E. 7</w:t>
      </w:r>
    </w:p>
    <w:p>
      <w:r>
        <w:t>Nach alledem ist der Rekurs abzuweisen. Bei diesem Ausgang des Verfahrens sind die Kosten nach § 151 Abs. 1 StG der Pflichtigen aufzuerlegen und steht ihr keine Parteientschädigung zu (§ 152. i.V.m. § 2 des Verwaltungsrechtspflegegesetze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