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ZH_STEUERREKURSGERICHT ST.2009.216 vom 17. November 2009</w:t>
      </w:r>
    </w:p>
    <w:p>
      <w:r>
        <w:t>ZH Steuerrekursgericht, 2009-11-17, DE</w:t>
      </w:r>
    </w:p>
    <w:p>
      <w:r>
        <w:rPr>
          <w:b/>
        </w:rPr>
        <w:t xml:space="preserve">Quelle: </w:t>
      </w:r>
      <w:r>
        <w:t>https://mcp.opencaselaw.ch/entscheid/zh_steuerrekursgericht_ST.2009.216</w:t>
      </w:r>
    </w:p>
    <w:p>
      <w:r>
        <w:t>FR: ZH_STEUERREKURSGERICHT ST.2009.216 du 17 novembre 2009</w:t>
      </w:r>
    </w:p>
    <w:p>
      <w:r>
        <w:t>IT: ZH_STEUERREKURSGERICHT ST.2009.216 del 17 novembre 2009</w:t>
      </w:r>
    </w:p>
    <w:p>
      <w:pPr>
        <w:pStyle w:val="Heading2"/>
      </w:pPr>
      <w:r>
        <w:t>Regeste</w:t>
      </w:r>
    </w:p>
    <w:p>
      <w:r>
        <w:t>Krankheitskosten eines Naturheilers. Als steuerlich massgeblich können nur Aufwendungen gelten, welche Leistungen eines staatlich, d.h. nach kantonalem Recht approbierten Heilers betreffen. Vorbehalten bleibt die ärztliche Anordnung solcher Leistungen.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DB.2009.127</w:t>
      </w:r>
    </w:p>
    <w:p>
      <w:r>
        <w:t>- 5 - Als Verwaltungsweisung sind die Kreisschreiben begrifflich allgemeine Ver- waltungsverordnungen und richten sich vorab an die Vollzugsorgane; sie vermögen Gerichte nicht zu binden (Michael Beusch, in: Kommentar zum Schweizerischen Steu- errecht, Band I/2b, 2.A., 2008, Art. 102 N 9 ff. DBG). Trotz insofern fehlender Verbind- lichkeit kann sie als Hilfsmittel zur Auslegung herangezogen werden, und zwar nicht nur für die direkte Bundessteuer, sondern auch für die harmonisierte Staatssteuer, ob- schon sie nur für die Bundessteuer erlassen wurde. Denn die in beiden Gesetzen ver- wendeten Begriffe decken sich, ebenso der Normzweck. Gerichte weichen nicht ohne triftigen Grund von einer solchen Weisung ab, wenn diese eine überzeugende Konkre- tisierung der gesetzlichen Regelung darstellt. Sie ziehen die im Kreisschreiben vorge- gebene Lösung zu Rate und richten ihre Entscheidung danach, sofern sich damit – wie hier – eine dem Einzelfall angemessene, ihm gerecht werdende Auslegung der mass- geblichen Gesetzesbestimmung bewerkstelligen lässt. Gerade dadurch trägt das Ge- richt dem Bestreben der Verwaltung nach einheitlicher und rechtsgleicher Gesetzes- anwendung mittels interner Weisung Rechnung (BGE 133 V 352). b) Krankheitskosten im Sinn von Art. 33 Abs. 1 lit. h DBG bzw. § 32 lit. a StG stellen steuermindernde Umstände dar, welche gemäss den allgemeinen Beweislast- regeln von den Steuerpflichtigen darzutun und nachzuweisen sind (vgl. VGr,</w:t>
      </w:r>
    </w:p>
    <w:p>
      <w:r>
        <w:rPr>
          <w:b/>
        </w:rPr>
        <w:t>E. 4</w:t>
      </w:r>
    </w:p>
    <w:p>
      <w:r>
        <w:t>Die Pflichtigen haben total Fr. 8'162.- als Krankheitskosten in Rechnung gestellt. Werden davon die D Aufwendungen von Fr. 6'221.- abgezogen, so verbleiben Fr. 1'941.-. Bei einem Nettoeinkommen von Fr. 65'017.- (Staats- und Gemeindesteu- ern) bzw. von Fr. 64'317.- (direkte Bundessteuer) beträgt der Selbstbehalt (5%) ge- mäss § 32 lit. a StG und Art. 33 Abs. 1 lit. h DBG Fr. 3'250.- bzw. Fr. 3'215.-. Für einen Krankenkostenabzug bleibt mithin kein Raum. Von einer Klärung, ob die restlichen Kosten nach Massgabe dieser Bestimmungen überhaupt zu berücksichtigen wären, kann darum abgesehen werden.</w:t>
      </w:r>
    </w:p>
    <w:p>
      <w:r>
        <w:rPr>
          <w:b/>
        </w:rPr>
        <w:t>E. 5</w:t>
      </w:r>
    </w:p>
    <w:p>
      <w:r>
        <w:t>Demnach erweisen sich die angefochtenen Einspracheentscheide als rechtsbeständig. Der Rekurs und die Beschwerde sind abzuweisen. 2 ST.2009.216 2 DB.2009.127</w:t>
      </w:r>
    </w:p>
    <w:p>
      <w:r>
        <w:t>- 10 - Bei diesem Ausgang des Verfahrens sind die Kosten den Pflichtigen aufzuer- legen (§ 151 Abs. 1 StG und Art. 144 Abs. 1 DBG).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