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ST.2009.194 vom 26. September 2008</w:t>
      </w:r>
    </w:p>
    <w:p>
      <w:r>
        <w:t>ZH Steuerrekursgericht, 2008-09-26, DE</w:t>
      </w:r>
    </w:p>
    <w:p>
      <w:r>
        <w:rPr>
          <w:b/>
        </w:rPr>
        <w:t xml:space="preserve">Quelle: </w:t>
      </w:r>
      <w:r>
        <w:t>https://mcp.opencaselaw.ch/entscheid/zh_steuerrekursgericht_ST.2009.194</w:t>
      </w:r>
    </w:p>
    <w:p>
      <w:r>
        <w:t>FR: ZH_STEUERREKURSGERICHT ST.2009.194 du 26 septembre 2008</w:t>
      </w:r>
    </w:p>
    <w:p>
      <w:r>
        <w:t>IT: ZH_STEUERREKURSGERICHT ST.2009.194 del 26 settembre 2008</w:t>
      </w:r>
    </w:p>
    <w:p>
      <w:pPr>
        <w:pStyle w:val="Heading2"/>
      </w:pPr>
      <w:r>
        <w:t>Regeste</w:t>
      </w:r>
    </w:p>
    <w:p>
      <w:r>
        <w:t>Fristwiederherstellung. Der Pflichtige wurde gemäss Selbstdeklaration für das Jahr 2007 vermögensmässig eingeschätzt. Die zeitliche Ausscheidung der Vermögensbesteuerung nach einem Erbgang im November 2007 wurde nicht berücksichtigt. Nach Erhalt der Schlussrechnung ersuchte der Pflichtige um Fristwiederherstellung. Dem Fristwiederherstellungsgesuch ist stattzugeben, da der Pflichtige darauf vertrauen konnte, dass das Steueramt die zeitliche Differenzierung des Vermögens gesetzesgemäss berücksichtigen würde.</w:t>
      </w:r>
    </w:p>
    <w:p>
      <w:pPr>
        <w:pStyle w:val="Heading2"/>
      </w:pPr>
      <w:r>
        <w:t>Erwägungen</w:t>
      </w:r>
    </w:p>
    <w:p>
      <w:r>
        <w:rPr>
          <w:b/>
        </w:rPr>
        <w:t>E. 2</w:t>
      </w:r>
    </w:p>
    <w:p>
      <w:r>
        <w:t>ST.2009.194</w:t>
      </w:r>
    </w:p>
    <w:p>
      <w:r>
        <w:t>- 4 - Steuerpflichtigen mit der Zustellung der Schlussrechnung an ihn. Vorliegend hat das kantonale Steueramt den Pflichtigen mit Entscheid vom 26. September 2008 eingeschätzt. Einzig dieser ist für die Auslösung der Einsprachefrist relevant; die Schlussrechnung vom 11. Dezember 2008 löste hingegen keine (neue) Einsprachefrist aus. Die Einsprache vom 12. Januar 2009 erweist sich damit – Fristwie- derherstellung vorbehalten – als verspätet.</w:t>
      </w:r>
    </w:p>
    <w:p>
      <w:r>
        <w:rPr>
          <w:b/>
        </w:rPr>
        <w:t>E. 3</w:t>
      </w:r>
    </w:p>
    <w:p>
      <w:r>
        <w:t>a) Hat ein Steuerpflichtiger die durch Gesetz, Verordnung oder durch be- hördliche Anordnung gesetzte Frist für die Geltendmachung eines Rechts versäumt, so ist laut § 15 VO StG Wiederherstellung zu gewähren, wenn er nachweist, dass er oder sein Vertreter ohne Verschulden entweder von der Fristansetzung nicht rechtzeitig Kenntnis erhalten hat oder durch schwerwiegende Gründe an der Einhaltung der Frist verhindert worden ist; als solche Gründe gelten z.B. Krankheit, Todesfall in der Familie, Landesabwesenheit oder Militärdienst (Abs. 1). Wiederherstellung der versäumten Frist ist aber auch zu bewilligen, wenn ein Steuerpflichtiger durch eine irreführende Rechts- mittelbelehrung oder eine unrichtige behördliche Auskunft an der Einhaltung der Frist verhindert worden ist (vgl. BGE 76 I 190, 78 I 297, 85 II 145). Allerdings darf im Inte- resse der Rechtssicherheit und eines geordneten Rechtsgangs nicht leichthin ein Grund angenommen werden, der ein fristgerechtes Handeln gehindert hat. Ein solcher ist nach dem praxisgemäss strengen Massstab nur zu bejahen, wenn dem Gesuchstel- ler auch bei Aufwendung der üblichen Sorgfalt die Wahrung seiner Interessen verun- möglicht oder unzumutbar erschwert wird (Richner/Frei/Kaufmann/Meuter, § 129 N 32; VGr, 16. Dezember 2003, SB.2003.00049, E. 4.1, www.vgrzh.ch). b) Das Wiederherstellungsgesuch ist schriftlich und spätestens innerhalb von 30 Tagen nach Kenntnisnahme der Fristansetzung oder Wegfall des Hindernisses ein- zureichen. Innert der gleichen Frist ist die versäumte Handlung vorzunehmen (§ 15 Abs. 2 VO StG). Das Gesuch muss den Hinderungsgrund sowie den Tag des Eintritts und des Wegfalls des Hinderungsgrunds genau bezeichnen. Die Einhaltung der (nicht erstreckbaren) Frist ist sowohl hinsichtlich des Wiederherstellungsgesuchs als auch bezüglich der nachzuholenden Handlung Gültigkeitsvoraussetzung (RB 1970 Nr. 37; Reimann/Zuppinger/Schärrer, Kommentar zum Zürcher Steuergesetz, 3. Band, 1969, § 78 N 15 ff.; Zuppinger/Schärrer/Fessler/Reich, Kommentar zum Zürcher Steuerge- setz, Ergänzungsband, 2.A., 1983, § 78 N 30). Die Wiederherstellungsgründe sind vom 2 ST.2009.194</w:t>
      </w:r>
    </w:p>
    <w:p>
      <w:r>
        <w:t>- 5 - Steuerpflichtigen zu substanziieren und zu beweisen; fehlt eine solch hinreichende Sachdarstellung, ist weder eine amtliche Untersuchung über die massgebenden Tat- sachen zu führen, noch dem Steuerpflichtigen Frist zur Verbesserung anzusetzen (RB 1979 Nr. 51). Über die Wiederherstellung entscheidet die Behörde, die in der Sa- che selbst zuständig ist (§ 15 Abs. 3 VO StG).</w:t>
      </w:r>
    </w:p>
    <w:p>
      <w:r>
        <w:rPr>
          <w:b/>
        </w:rPr>
        <w:t>E. 4</w:t>
      </w:r>
    </w:p>
    <w:p>
      <w:r>
        <w:t>August 1998, nZStB Nr. 24/000, S. 2, 9 f.). b) Der Pflichtige ist beruflich an einem … tätig und hat in seiner Steuererklä- rung 2007 (per 31.12.) ein steuerbares Vermögen von Fr. 2'350'865.- deklariert, und zwar als Summe aus den Positionen "Wertschriften und Guthaben" (Ziff. 30.1) von Fr. 772'170.- und "Anteile an unverteilten Erbschaften, Geschäfts-/Korporationsanteile" (Ziff. 30.5) von Fr. 1'578'695.-. Sodann hat er unter Ziff. 50 des Formulars angekreuzt, er sei an einer Erbengemeinschaft beteiligt. In der mitgelieferten Bilanz "B" wurde ein Nettovermögen von Fr. 3'157'391.- ausgewiesen, was für die beiden Erben, den Pflich- tigen und dessen Schwester, dem besagten Anteil entsprach. Die damit verbundene "Ertragsrechnung" der Erbengemeinschaft bezog sich auf die Zeit vom "1.11. - 31.12.07". Die Erblasserin, die Mutter des Pflichtigen, war am … verstorben. Das kan- 2 ST.2009.194</w:t>
      </w:r>
    </w:p>
    <w:p>
      <w:r>
        <w:t>- 6 - tonale Steueramt hat den Pflichtigen in der Folge am 26. September 2008 für 2007 mit dem deklarierten steuerbaren Vermögen von Fr. 2'350'000.- eingeschätzt. Dem Um- stand, dass ihm ein grosser Teil des Vermögens erst im Verlauf der Steuerperiode zu- geflossen war, hat es dabei keine Beachtung geschenkt. Beim steuerbaren Einkom- men ergab sich gegenüber der Selbstdeklaration eine kleine Differenz. Wurde der Pflichtige mithin für die ganze Steuerperiode 2007 ohne die gebo- tene Einschränkung auf der Grundlage des per Ende Jahr massgeblichen Vermögens eingeschätzt, so widersprach dies der gesetzlichen Regelung. Zu fragen ist, ob sich dieser Mangel beheben lässt, obgleich die Einschätzung mangels fristgerechter Ein- sprache in Rechtskraft erwachsen ist. c) aa) Der Pflichtige vertritt die Auffassung, für ihn sei aus dieser Einschät- zung nicht ersichtlich gewesen, dass ihm für das ganze Jahr 2007 das Vermögen voll- umfänglich steuermässig in Rechnung gestellt würde; insoweit liege ein entschuldbarer Irrtum seinerseits vor, weshalb die Einsprachefrist wiederhergestellt werden müsse. Demgegenüber führt das kantonale Steueramt im Einspracheentscheid aus, der Ein- schätzungsentscheid vom 26. September 2008 habe – anders als im Verfahren betref- fend die verstorbene Mutter des Pflichtigen – keinen Hinweis auf eine unterjährige Steuerpflicht oder weitere Indizien enthalten, welche auf die Notwendigkeit einer pro rata-Besteuerung hätten schliessen lassen. Der vom Pflichtigen angeführte Irrtum sei bei solcher Lage der Dinge bereits im Einschätzungsentscheid zu erkennen gewesen. Damit sei die Säumnis auf ein Ereignis zurückzuführen, welches dem Pflichtigen als Nachlässigkeit anzulasten sei; Fristwiederherstellung komme nicht in Frage. bb) Aus der Steuererklärung 2007 ergab sich, wie vorhin erwähnt (vorn E. 4b), ohne Weiteres, dass dem Pflichtigen 2007 aus dem Erbgang seiner Mutter beträchtli- che Vermögenswerte zugegangen waren. Zudem lag dem kantonalen Steueramt im Zeitpunkt der Einschätzung ein Antrag auf Rückerstattung der Verrechnungssteuer in Erbfällen vor, welcher vom 5. März 2008 datiert und von der Inventarkontrolle am 3. April 2008 behandelt wurde. Dieser bezog sich auf Fälligkeiten vom 8.11. - 31.12.2007 auf Guthaben bzw. Wertschriften der Erbengemeinschaft B, also der am … verstorbenen Mutter des Pflichtigen, welcher darin als Miterbe und Vertreter der Er- bengemeinschaft aufgeführt war, und ging mit Scan-Datum vom 26. Mai 2008 in des- sen Steuerakten ein. Sodann gingen auf Beweisauflage des Steueramts vom 10. Sep- tember 2008 hin beim Steueramt jedenfalls vor dem 3. Oktober 2008 Bankunterlagen 2 ST.2009.194</w:t>
      </w:r>
    </w:p>
    <w:p>
      <w:r>
        <w:t>- 7 - zweier Banken ein, welche ebenfalls erhellten, dass der Pflichtige neu an der Erbschaft seiner Mutter beteiligt war. Hinzu kommt, dass ein Vergleich mit der Vorjahressteuerer- klärung (2006) bzw. Taxation unschwer erkennen liess, dass der Pflichtige per Ende 2006 an keiner Erbengemeinschaft beteiligt war und dass das steuerbare Vermögen 2007 massiv zugenommen hatte. Musste mithin dem Steueramt aus all diesen Grün- den bekannt sein, dass der Pflichtige während des Jahres 2007 ein Erbe angetreten hatte, so durfte dieser darauf vertrauen, dass das Steueramt diesem Umstand Rech- nung trägt. Dabei dürfte ihn auch die Wegleitung zur Steuererklärung (2007) in seiner Auffassung, der Fiskus werde den tatsächlichen Gegebenheiten korrekt Rechnung tragen, bestärkt haben. Dort wird ausgeführt, einzutragen sei in der Steuererklärung das Vermögen per Ende 2007. Bei Erbfall während des Jahres werde eine Vermö- genssteuer erhoben für die Zeit (a) ab Beginn 2007 bis Erbgang und (b) ab Erbgang bis Ende 2007. Die zeitliche Abgrenzung erfolge durch die Steuerbehörden aufgrund der Angaben auf Seite 4 der Steuererklärung (S. 9). Zu Ziff. 50 (auf Seite 4) der Steu- ererklärung gibt die Wegleitung bekannt, zu deklarieren sei (u.a.) jeder Vermögensan- fall von Todes wegen, auch wenn die Erbteilung noch nicht stattgefunden habe (S. 31). Dieser Verpflichtung ist der Pflichtige, wenn auch bloss unvollkommen (hinten E. 4c/cc), nachgekommen. cc) Dass der Pflichtige den Einschätzungsentscheid, welcher keine zeitliche Differenzierung betreffend die Besteuerung des Vermögens enthielt, nicht beanstande- te, kann ihm nicht zum Vorwurf gemacht werden und nicht zum Nachteil gereichen: Der Einschätzungsentscheid vom 26. September 2008 stimmte in Bezug auf das steuerba- re Vermögen mit der Selbstdeklaration des Pflichtigen überein und entsprach exakt dem Stand per 31.12.2007, welcher gemäss Gesetz für die Einschätzung 2007 mass- geblich war (vorn E. 4a). Daher musste die fehlende zeitliche Differenzierung betref- fend die Besteuerung des Vermögens dem – in steuerrechtlichen Fragen unkundigen – Pflichtigen nicht als fehlerhaft erscheinen. Im Gegensatz zu seiner verstorbenen Mut- ter, deren Steuerpflicht mit dem Tod am … endete und in deren Rechtsnachfolge er eintrat, war er nicht unterjährig steuerpflichtig. Sowohl die Einschätzung für die Mutter als auch der entsprechende Steuerbezug waren pro 2007 zeitlich beschränkt, eben anders als bei ihm selber. Wie der Pflichtige, der die Erben in der Einschätzung der Verstorbenen vertrat, zu Recht bemerkt, durfte er auch vor diesem Hintergrund davon ausgehen und darauf vertrauen, dass das kantonale Steueramt das Nachlassvermö- gen ungeachtet dessen, dass im Einschätzungsentscheid ein ausdrücklicher Hinweis auf die zeitlich beschränkte Steuerpflicht hinsichtlich der Nachlasswerte fehlte, wie ge- 2 ST.2009.194</w:t>
      </w:r>
    </w:p>
    <w:p>
      <w:r>
        <w:t>- 8 - setzlich vorgesehen erst ab dem Zeitpunkt des Erbschaftsanfalls berücksichtigen und steuerlich belasten würde (vgl. Wegleitung zur Steuererklärung 2007, S. 9; ebenso Art. 66 Abs. 3 des Bundesgesetzes über die Harmonisierung der direkten Steuern der Kantone und Gemeinden vom 14. Dezember 1990 [StHG]). Dass dem nicht so war, musste er erst mit der Zustellung der Schlussrechnung erkennen. Wenn das Steueramt nicht den gesetzlichen Vorgaben entsprechend eingeschätzt hat, so muss es sich die- ses Versagen vorwerfen lassen. Die volle Erfassung der Nachlassgüter während des ganzen Steuerjahres ist nicht nur angesichts der klaren Darstellung der Verhältnisse in den Steuerakten unverständlich, sondern auch angesichts dessen, dass der Zürcher Fiskus diese Werte bis zu deren Todestag bereits bei der Mutter des Pflichtigen be- steuert hat. Insoweit resultierte für die Zeit vom 1.1. - 7.11.2007 eine verpönte Doppel- belastung, im weiteren Sinn sogar eine Doppelbesteuerung (wenn auch nicht beim nämlichen Steuersubjekt). Zwar muss sich der Pflichtige vorhalten lassen, er habe die Ziff. 50 der Steuererklärung 2007 nicht korrekt ausgefüllt, hätte er doch dort den Na- men der Erblasserin, deren Todestag sowie den Wert des anteiligen Erbes angeben müssen. Doch wiegt diese Nachlässigkeit nicht derart schwer, dass sie das Versagen des Steueramts nur annährend wettschlagen könnte. dd) Zusammenfassend ist eine entscheidwesentliche Nachlässigkeit des Pflichtigen zu verneinen; unter den gegebenen Umständen hatte er keinen Anlass, den in Bezug auf die Steuerfaktoren (steuerbares Einkommen für 2007 Fr. 136'700.- und steuerbares Vermögen per 31.12.2007 Fr. 2'350'000.-) korrekten Einschätzungsent- scheid anzufechten. d) Von der fehlenden zeitlichen Differenzierung in Bezug auf die Vermögens- besteuerung erlangte der Pflichtige erst mit Zustellung der Schlussrechnung vom 11. Dezember 2008 Kenntnis. Mit Eingabe vom 12. Januar 2009 stellte er innert 30 Tagen und damit rechtzeitig ein Fristwiederherstellungsgesuch, worin er auch seiner Substanziierungspflicht vollumfänglich nachkam. Damit war das Fristwiederherstel- lungsgesuch gültig. Das kantonale Steueramt – das übrigens auf das Fristwiederher- stellungsgesuch laut Dispositiv nicht eintrat, dieses aber in den Erwägungen prüfte und damit darüber im Grund materiell entschied – hätte somit die Fristwiederherstellung gewähren müssen. 2 ST.2009.194</w:t>
      </w:r>
    </w:p>
    <w:p>
      <w:r>
        <w:t>- 9 - Nach alledem ist die Einsprachefrist wiederherzustellen und die Angelegenheit an das kantonale Steueramt zur materiellen Behandlung zurückzuweisen.</w:t>
      </w:r>
    </w:p>
    <w:p>
      <w:r>
        <w:rPr>
          <w:b/>
        </w:rPr>
        <w:t>E. 5</w:t>
      </w:r>
    </w:p>
    <w:p>
      <w:r>
        <w:t>Mithin ist der Rekurs teilweise gutzuheissen, soweit darauf einzutreten ist. Ausgangsgemäss sind die Rekurskosten dem Staat aufzuerlegen (§ 151 Abs. 1 StG). Eine Parteientschädigung ist dem juristisch gebildeten Pflichtigen in dieser nicht allzu komplexen Angelegenheit nicht zuzusprechen. Hinzu kommt, dass wer – wie hier – in eigener Sache vorstellig geworden ist, praxisgemäss ohnehin keinen Anspruch auf Entschädigung seines Arbeitsaufwands hat (§ 152 StG i.V.m. § 17 Abs. 2 des Verwal- 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