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ST.2008.295 vom 18. März 2010</w:t>
      </w:r>
    </w:p>
    <w:p>
      <w:r>
        <w:t>ZH Steuerrekursgericht, 2010-03-18, DE</w:t>
      </w:r>
    </w:p>
    <w:p>
      <w:r>
        <w:rPr>
          <w:b/>
        </w:rPr>
        <w:t xml:space="preserve">Quelle: </w:t>
      </w:r>
      <w:r>
        <w:t>https://mcp.opencaselaw.ch/entscheid/zh_steuerrekursgericht_ST.2008.295</w:t>
      </w:r>
    </w:p>
    <w:p>
      <w:r>
        <w:t>FR: ZH_STEUERREKURSGERICHT ST.2008.295 du 18 mars 2010</w:t>
      </w:r>
    </w:p>
    <w:p>
      <w:r>
        <w:t>IT: ZH_STEUERREKURSGERICHT ST.2008.295 del 18 marzo 2010</w:t>
      </w:r>
    </w:p>
    <w:p>
      <w:pPr>
        <w:pStyle w:val="Heading2"/>
      </w:pPr>
      <w:r>
        <w:t>Regeste</w:t>
      </w:r>
    </w:p>
    <w:p>
      <w:r>
        <w:t>Aus-/Weiterbildung. Der dreisemestrige, berufsbegleitend absolvierte CAS-Studiengang zum Wirtschaftsingenieur FH stellt bei einem in der Telekommunikationsbranche tätigen Ingenieur, der vor Beginn des Studiums jahrelang auschliesslich im technischen Bereich (u.a. Support) und nach Studienbeginn als Vertriebsingenieur arbeitete, eine berufliche Weiterbildung im angestammten Beruf dar.</w:t>
      </w:r>
    </w:p>
    <w:p>
      <w:pPr>
        <w:pStyle w:val="Heading2"/>
      </w:pPr>
      <w:r>
        <w:t>Erwägungen</w:t>
      </w:r>
    </w:p>
    <w:p>
      <w:r>
        <w:rPr>
          <w:b/>
        </w:rPr>
        <w:t>E. 3</w:t>
      </w:r>
    </w:p>
    <w:p>
      <w:r>
        <w:t>Bei diesem Ausgang sind die Kosten des Rekurs- und Beschwerdeverfah- rens dem Rekursgegner/der Beschwerdegegnerin aufzuerlegen (§ 151 Abs. 1 StG, Art. 144 Abs. 1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