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QS.2021.12 vom 21. Dezember 2022</w:t>
      </w:r>
    </w:p>
    <w:p>
      <w:r>
        <w:t>ZH Steuerrekursgericht, 2022-12-21, DE</w:t>
      </w:r>
    </w:p>
    <w:p>
      <w:r>
        <w:rPr>
          <w:b/>
        </w:rPr>
        <w:t xml:space="preserve">Quelle: </w:t>
      </w:r>
      <w:r>
        <w:t>https://mcp.opencaselaw.ch/entscheid/zh_steuerrekursgericht_QS.2021.12</w:t>
      </w:r>
    </w:p>
    <w:p>
      <w:r>
        <w:t>FR: ZH_STEUERREKURSGERICHT QS.2021.12 du 21 décembre 2022</w:t>
      </w:r>
    </w:p>
    <w:p>
      <w:r>
        <w:t>IT: ZH_STEUERREKURSGERICHT QS.2021.12 del 21 dicembre 2022</w:t>
      </w:r>
    </w:p>
    <w:p>
      <w:pPr>
        <w:pStyle w:val="Heading2"/>
      </w:pPr>
      <w:r>
        <w:t>Regeste</w:t>
      </w:r>
    </w:p>
    <w:p>
      <w:r>
        <w:t>Härtefallklausel; Der Pflichtige bezahlte Unterhaltsleistungen gemäss Trennungsvereinbarung an seine getrennt von ihm lebende Ehefrau und seine beiden Kinder. Nach der Existenzminimumberechnung verblieben dem Pflichtigen monatlich rund Fr. 500.- über dem Existenzminimum. Während der Steuerperiode erfolgte der Wegzug in einen anderen Kanton. Zudem beantragte er in diesem Kanton eine nachträglich ordentliche Veranlagung. Härtefall vorliegend bejaht, da Einkommensverhältnisse nur knapp über dem Existenzminimum liegen und seitens des Kantons ein reduziertes Interesse an der Sicherung des Steuersubstrats besteht. Teilweise Gutheissung.</w:t>
      </w:r>
    </w:p>
    <w:p>
      <w:pPr>
        <w:pStyle w:val="Heading2"/>
      </w:pPr>
      <w:r>
        <w:t>Erwägungen</w:t>
      </w:r>
    </w:p>
    <w:p>
      <w:r>
        <w:rPr>
          <w:b/>
        </w:rPr>
        <w:t>E. 2</w:t>
      </w:r>
    </w:p>
    <w:p>
      <w:r>
        <w:t>QS.2021.12</w:t>
      </w:r>
    </w:p>
    <w:p>
      <w:r>
        <w:t>- 8 - Oktober Arzt/Medikamente Fr. X.- Zusammengefasst ergebe dies folgende Über- bzw. Unterdeckung: Nettolohn Über-/Unterdeckung Januar Fr. X.- Fr. 327.- Februar Fr. X.- Fr. 5'134.- März Fr. X.- Fr. 16'604.- April Fr. X.- Fr. 327.- Mai Fr. X.- Fr. -9'346.- Juni Fr. X.- Fr. -950.- Juli Fr. X.- Fr. -1'388.- August Fr. X.- Fr. -1'546.- September Fr. X.- Fr. -1'969.- Oktober Fr. X.- Fr. -2'267.- Total Fr. X.- Fr. 493.- (Mtl. bzw. Fr. 4'926.- Jan – Okt.) Ausgehend von dieser Aufstellung argumentiert der Pflichtige, dass das be- treibungsrechtliche Existenzminimum ab Mai bis zum Oktober unterschritten werde. Insgesamt liege für die Zeit zwischen Januar und Oktober noch eine kleine monatliche Überdeckung von Fr. 493.- vor, wobei diese bereits ausreiche, um die Härtefallklausel anzuwenden. Wenn man zudem davon ausgehe, dass auch in den folgenden Monaten eine Unterdeckung in diesem Ausmass resultiere, so würde diese Überdeckung ohne- hin beseitig werden. Schliesslich weist er noch darauf hin, dass auf die aktuellen per- sönlichen Verhältnisse aus dem Jahr 2021 zur Beurteilung eines Härtefalls abzustellen sei. Durch die Verwendung der Verhältnisse aus dem Jahr 2019 verstosse das kanto- nale Steueramt gegen § 6 Abs. 1 [recte: Abs. 3] QVO I, weshalb diese zur Beurteilung eines Härtefalls nicht herangezogen werden könnten.</w:t>
      </w:r>
    </w:p>
    <w:p>
      <w:r>
        <w:rPr>
          <w:b/>
        </w:rPr>
        <w:t>E. 3</w:t>
      </w:r>
    </w:p>
    <w:p>
      <w:r>
        <w:t>a) Vorab ist festzuhalten, dass aus den eingereichten Unterlagen vom 22. Juni 2022 hervorgeht, dass für die Monate November 2021 und Dezember 2021 die Quellensteuer im Kanton F abgerechnet wurde. Für den vorliegenden Fall ist somit einzig auf die Periode zwischen Januar 2021 und Oktober 2021 abzustellen. 2 QS.2021.12</w:t>
      </w:r>
    </w:p>
    <w:p>
      <w:r>
        <w:t>- 9 - b) Zunächst fällt auf, dass das monatliche Einkommen des Pflichtigen unre- gelmässig ist und teilweise erhebliche Schwankungen aufweist. Sein Grundsalär von brutto Fr. X.- (Jan. bis Jun.) bzw. Fr. X.- (Jul. bis Okt.) ist vergleichsweise hoch, wobei er im Februar (Fr. X.-), März (Fr. X.-) und Juni (Fr. X.-) noch Bonuszahlungen erhalten hat. In den Monaten Januar bis April wurde zudem noch der (tiefere) A7N Tarif ange- wendet, wobei ab Mai mit dem (höheren) A0N Tarif abgerechnet wurde und im selben Monat eine rückwirkende Korrektur ab Januar 2021 erfolgte. In diesem Monat wurde dem Pflichtigen von seinem Arbeitgeber zudem einen Vorschuss (…) von Fr. X.- aus- bezahlt, welcher in den folgenden drei Monaten ratenweise wieder vom Lohn abgezo- gen wurde. Mit Ausnahme der Monate Januar, April, September und Oktober variierten die Lohnauszahlungen aufgrund der genannten Vorgänge in teilweise erheblichem Ausmass. Mit Ausnahme der Monate mit Bonusauszahlungen verblieben die Verbind- lichkeiten gegenüber Dritten mehrheitlich konstant. In den Monaten mit (…) war der Pflichtige aufgrund der Trennungsvereinbarung verpflichtet, (…) zahlungen seiner Ehe- frau zukommen zu lassen. Aufgrund dieser Umstände sind die Lohnauszahlungen un- regelmässig. Entsprechend ergibt die isolierte Betrachtung einzelner Monate ein ver- zerrtes Bild. Es ist daher angezeigt auf eine Jahresbetrachtung bzw. aufgrund des Wegzugs die Periode Januar bis Oktober 2021 als Ganzes zu betrachten. Somit kann dem Steueramt nicht angelastet werden, zur Beurteilung das Erwerbseinkommen auch die vorherigen Jahre herbeizogen zu haben, um einen (zu erwarteten) Überblick über eine längere Periode zu erhalten, um die "fehlenden Monate" abschätzen zu können. Anzumerken ist zudem, dass das Steueramt im Zeitpunkt des Einspracheentscheids mutmasslich nicht über den Wegzug informiert war und somit zu Recht von einer Jah- resbetrachtung ausgegangen ist. c) aa) Unbestritten ist, dass die vom Pflichtigen getätigten Unterhaltsbeiträge als solche gemäss § 31 Abs. 1 lit. c StG qualifizieren und somit die Grundvorausset- zung zur Anwendung der Härtefallklausel vorliegt (Art. 11 Abs. 1 QStV bzw. § 22 Abs. 2 QVO I). Entsprechend ist ausgehend von den Angaben des Pflichtigen das Existenzminimum zu berechnen. In seiner Aufstellung sind "Alimente laut Trennungsvereinbarung" von monat- lich Fr. X.- sowie "Miete – Alimente" von Fr. X.- (total Fr. X.-) angefallen. Gemäss der Trennungsvereinbarung ist der Pflichtige verpflichtet, für seine Tochter Fr. X.- und für seinen Sohn Fr. X.- zu bezahlen. Zusätzlich ist ein Ehegattenunterhaltsbeitrag von Fr. 2 QS.2021.12</w:t>
      </w:r>
    </w:p>
    <w:p>
      <w:r>
        <w:t>- 10 - X.- zu leisten. Dies ergibt ein Total von monatlich Fr. X.-. Zwischen der Trennungsver- einbarung und der eingereichten Aufstellung ergibt dies eine kleine Differenz von Fr. X.- zu Lasten des Pflichtigen. Gemäss Auskunft von diesem sei die Bezahlung der Wohnungsmiete für die Kinder und die getrennte Ehegattin in der Trennungsvereinba- rung festgehalten. Obwohl sich dies so nicht (explizit) aus der Trennungsvereinbarung ergibt, ist der in der Budgetaufstellung festgehaltene Betrag zum Grundbetrag hinzuzu- rechnen. Zum einen ist die Abweichung gering und zum anderen ist es plausibel, dass der Pflichtige für diese Kosten aufkommt, da bei der Ehefrau gemäss Trennungsver- einbarung kein Nettoeinkommen besteht. Ebenfalls als Alimentenzahlung sind Kran- kenkassenkosten aufgeführt. Da diese Kosten in der Trennungsvereinbarung dem Pflichtigen überbunden werden, sind diese ebenfalls dem Grundbetrag hinzuzufügen. Anzumerken ist, dass die Richtlinien vorgeben, dass die Unterhaltsbeiträge nachweis- bar geleistet sein müssen. Aus der Aufstellung des Pflichtigen geht indes hervor, dass er in den Monaten Juli bis Oktober die Unterhalsbeiträge "Alimente laut Trennungsver- einbarung" nicht oder nicht vollständig geleistet hat. Aufgrund der vorliegenden zu be- urteilenden Frage, ist es jedoch nicht angezeigt, nur die effektiv geleisteten Zahlungen dem Grundbetrag hinzuzufügen. Dies deshalb, da gerade beurteilt werden muss, ob die Unterhaltsbeiträge in Kombination mit dem Quellensteuerabzug in das Existenzmi- nimum eingreifen. Anders wäre die Situation, wenn die Unterhaltszahlungen über einen längeren Zeitraum und ohne ersichtlichen Grund nicht bzw. nur in einem geringen Um- fang bezahlt würden oder Hinweise auf ein rechtsmissbräuchliches Verhalten bestün- den. Vorliegend bestehen jedoch keine Hinweise auf ein solches Vorgehen. bb) Für seine eigene Unterkunft gibt der Pflichtige Kosten von Fr. X.- an. Ge- mäss Richtlinien sind diese Kosten dem Grundbetrag hinzuzufügen, wobei eine teurere Wohnung auf ein Normalmass herabgesetzt werden kann, wenn diese lediglich zur grösseren Bequemlichkeit benutzt wird (Richtlinien, Ziff III 1.1). Da die Kinder jedes zweite Wochenende (…) beim Pflichtigen verbringen können, ist in der Wohnung min- destens ein zusätzliches Schlafzimmer für die Kinder angemessen. Dies entspricht einer 3.5-Zimmer Wohnung und für eine solche sind Kosten von Fr. X.- nicht zu bean- standen. Die aufgeführten Kosten für seine eigene Krankenkasse von Fr. X.-, die aufge- führten Kosten für "Arzt/Medikamente/Diät" und die Hausratversicherung sind ebenfalls dem Grundbetrag hinzuzurechnen (vgl. Richtlinien, Ziff. III 2). 2 QS.2021.12</w:t>
      </w:r>
    </w:p>
    <w:p>
      <w:r>
        <w:t>- 11 - Ebenfalls zum Grundbetrag hinzuzurechnen sind die Kosten für Verkehrsmit- tel, Autoversicherung und Berufsauslagen. Diese sind insgesamt moderat und mit den Richtlinien vereinbar (vgl. Richtlinien, Ziff. III 3). cc) In einzelnen Monaten verzeichnete der Pflichtige ausserordentliche Kos- ten. Zunächst fallen die Anteile der Ehefrau gemäss Trennungsvereinbarung in den Monaten Februar, März und Juni auf. Da diese Zahlungen in der Trennungsvereinba- rung festgehalten sind, sind diese ebenfalls dem Grundbetrag hinzuzufügen. Weiter wurden im Mai rückwirkend Quellensteuern von Fr. X.- vom Lohn ein- behalten. Da bei der Quellensteuer das Existenzminimum vom ausbezahlten Lohn be- rechnet wird ist diese Rückzahlung zum Grundbetrag hinzuzufügen (vgl. Richtlinien, Ziff. VI). Schliesslich machte der Pflichtige noch Kosten für Arztbesuch und Medika- mente von total Fr. X.- geltend. Diese Ausgaben sind ebenfalls dem Grundbetrag hin- zuzufügen (vgl. Richtlinien Ziff. III 5.3). Zusammenfassend sind die vom Pflichtigen geltend gemachten Zuschläge zum Grundbedarf nicht zu beanstanden. Nachfolgend ist somit die Über- bzw. Unter- deckung zu berechnen. d) Auf der Einkommensseite ist bei quellensteuerpflichtigen Personen vom ausbezahlten Lohn auszugehen (Richtlinien, Ziff. VI, mit Verweis auf BGE 90 III 33 E. 1). Ausgehend von den Lohnabrechnungen wird dem Pflichtigen vom Nettolohn (…) neben der Quellensteuer, den Abzügen für die Krankentaggeldversicherung, den Pen- sionskassenbeiträgen sowie in den Monaten Januar bis Mai noch die Prämien für die Krankenversicherung für ihn und seine Familie abgezogen. Ebenfalls bereits vom Lohn werden die vom Pflichtigen geltend gemachten Berufskosten abgezogen. Ausgehend vom ausbezahlten Lohn ergibt dies folgende Über- bzw. Unterdeckung: Ausbezahlt Existenzminimum Über-/Unterdeckung Januar Fr. X.- Fr. X.- Fr. 327.- Februar Fr. X.- Fr. X.- Fr. 5'133.- März Fr. X.- Fr. X.- Fr. 16'635.- 2 QS.2021.12</w:t>
      </w:r>
    </w:p>
    <w:p>
      <w:r>
        <w:t>- 12 - April Fr. X.- Fr. X.- Fr. 327.- Mai Fr. X.- Fr. X.- Fr. -1'827.- Juni Fr. X.- Fr. X.- Fr. -3'445.- Juli Fr. X.- Fr. X.- Fr. -3'889.- August Fr. X.- Fr. X.- Fr. -4'047.- September Fr. X.- Fr. X.- Fr. -1'970.- Oktober Fr. X.- Fr. X.- Fr. -2'268.- Total Jan – Okt. Fr. 4'956.- Pro Monat Jan – Okt. Fr. 496.- Über die ganze Periode betrachtet resultiert somit ein monatlicher Überschuss von rund Fr. 500.-, womit das Existenzminimum knapp gewährleistet ist. Auffallend ist jedoch, dass seit dem im Mai vollzogenen Wechsel auf den A0N Tarif jeweils eine (sig- nifikante) Unterdeckung besteht. Dies ist allerdings im Hinblick auf das Existenzmini- mum im relevanten Zeitraum unbeachtlich, da insgesamt nicht in das Existenzminimum eingegriffen wird. Würde somit einzig auf das Existenzminimum abgestellt, wäre ein Härtefall nicht gegeben. e) Im vorliegenden Fall ist allerdings noch Folgendes zu berücksichtigen: Zum einen teilt der Pflichtige mit seinen Kindern nicht denselben Haushalt. Zum anderen gilt seine Ehefrau als unterhaltspflichtige Person gegenüber den gemeinsamen Kindern, da sie die Unterhaltszahlungen vom Pflichtigen empfängt. Folglich ist beim Pflichtigen kein Kinderabzug im Tarif zu berücksichtigen. Obwohl der Pflichtige umfassende und sehr hohe Unterhaltszahlungen leistet, können weder diese noch seine (…) Kinder in seinem Quellensteuertarif berücksichtigt werden. Im Gegensatz dazu können bei einer nachträglich ordentlichen Veranlagung, von welcher beim Pflichtigen auszugehen ist, die Unterhaltszahlungen steuerlich in Abzug gebracht werden (Art. 33 Abs. 1 lit. c DBG; § 31 Abs. 1 lit. c StG). Auch wenn der Pflichtige zwar bei der nachträglichen or- dentlichen Veranlagung einen Abzug geltend machen kann, so wird er unmittelbar beim Quellensteuerabzug doppelt belastet. Zum einen trägt er die finanzielle Last der Unterhaltszahlungen und zum anderen ist es ihm nicht möglich, diese Unterhaltszah- lungen (oder einen Kinderabzug) bei seinem Quellensteuerabzug sogleich in Abzug zu bringen. 2 QS.2021.12</w:t>
      </w:r>
    </w:p>
    <w:p>
      <w:r>
        <w:t>- 13 - f) aa) Der Pflichtige weist dabei zu Recht auf den Umstand hin, dass im vor- liegenden Fall eine Person am ordentlichen Register ihre provisorische Steuerrech- nung anpassen könne, während er als quellensteuerpflichtige Person diese Möglichkeit nicht habe. Aufgrund der Konzeption der Quellensteuer, die sowohl Eigenschaften als Sicherheitssteuer (im Fall einer nachträglich ordentlichen Veranlagung) aber auch als eine echte Steuer (bei Verzicht auf eine nachträgliche ordentliche Veranlagung) auf- weisen kann, ergeben sich systembedingt sowohl beim Veranlagungs- als auch beim Bezugsverfahren gewisse Ungleichbehandlungen. Diese sind grundsätzlich hinzuneh- men. In Bezug auf die Berücksichtigung von Unterhaltszahlungen steht dem Pflichtigen gleich wie einer Person am ordentlichen Register die Möglichkeit offen, die Unterhalts- zahlungen im nachträglich ordentlichen Veranlagungsverfahren steuerlich in Abzug zu bringen. Im Ergebnis liegt dadurch keine Ungleichbehandlung vor. Der einzige Nachteil des Pflichtigen liegt darin, dass die finanzielle Last der Unterhaltszahlungen nicht ohne weiteres bereits in seinem Quellensteuerabzug berücksichtigt werden können. Indem der Gesetzgeber die Möglichkeit eines Härtefallabzugs schuf, wirkte er dieser Un- gleichbehandlung entgegen. Es ist somit jeweils im Einzelfall zu prüfen, ob eine nicht hinnehmbare Ungleichbehandlung vorliegt, welche im Zusammenspiel mit dem Exis- tenzminimum einen Härtefall zu begründen vermag. Somit ist nachfolgend das Interes- se des Pflichtigen an einer finanziellen Entlastung und dem staatlichen Interesse der Steuersicherung gegeneinander abzuwägen. bb) Wie aus der Existenzminimum-Berechnung ersichtlich ist, liegt das ver- fügbare Einkommen des Pflichtigen nur leicht über dem Existenzminimum. Dieses ge- währleistet dem Pflichtigen das notwendige Minimum zur Bestreitung des Lebensbe- darfs. Darüberhinausgehende Annehmlichkeiten oder eine Sparquote sind in dieser Berechnung nicht vorgesehen. Aufgrund der allgemeinen Lebenserfahrung ist sodann bekannt, dass ein Leben am Existenzminimum sowohl in finanzieller als auch in psy- chologischer Hinsicht für die Betroffenen anspruchsvoll ist. Auch wenn dem Pflichtigen etwas mehr als das zwingend Notwendige verbleibt, ist es nachvollziehbar, dass er dennoch ein Interesse an einer finanziellen Entlastung hat. cc) Auf der anderen Seite hat der Staat ebenso ein Interesse, die Steuer- schuld zu sichern. Gerade bei quellensteuerpflichtigen Personen kommt diesem Inte- 2 QS.2021.12</w:t>
      </w:r>
    </w:p>
    <w:p>
      <w:r>
        <w:t>- 14 - resse besondere Bedeutung zu, da diese regelmässig nur eine kurze Aufenthaltsdauer in der Schweiz aufweisen und sich daher oftmals nur für eine begrenzte Zeit in der Schweiz aufhalten. Bei einem Wegzug ins Ausland ergeben sich sodann Schwierigkei- ten bei der Durchsetzung von Steuerforderungen. Entsprechend hoch ist das staatliche Interesse an der Sicherung von Steuersubstrat. Ferner fehlen den Pflichtigen in aller Regel Rechtskenntnisse sowie allenfalls Sprachkenntnisse, weshalb sie anfällig für eine Überforderung im Steuerverfahren sein können. Diese Probleme können mit einer Steuersicherung an der Quelle umgangen werden, weshalb diesem staatlichen Inte- resse hohes Gewicht beizumessen ist. dd) Zunächst ist zu berücksichtigen, dass der Pflichtige eine nachträglich or- dentliche Veranlagung beantragt hat und Unterhaltszahlungen in Abzug bringen möch- te. Auch wenn die Festlegung des effektiven Abzugs in der Kompetenz des Steuer- kommissärs liegt, muss bereits für die Anwendung des Härtefalls beurteilt werden, ob abzugsfähige Unterhaltszahlungen vorliegen. Liegen solche wie im vorliegenden Fall vor, so ist sowohl ein entsprechender Steuerabzug als auch eine reduzierte Steuer- schuld zu erwarten. Dies gilt im vorliegenden Fall umso mehr bzw. die Frage wird ob- solet, da davon auszugehen ist, dass der Pflichtige für die Steuerperiode 2021 im Kan- ton F steuerpflichtig ist. Vor diesem Hintergrund scheint die Gefahr, dass die Quellensteuer ihre Eigenschaft als Sicherungssteuer verliert, unbegründet. Aber auch wenn sich beim Pflichtigen ergeben sollte, dass er für die Steuerperiode 2021 im Kan- ton Zürich steuerpflichtig wäre, so wäre zu berücksichtigen, dass der Einschlag beim Härtefall auf die Höhe der Unterhaltsbeiträge beschränkt ist. Es verbleibt somit auch bei Anwendung der Härtefallklausel Steuersubstrat. Davon abgesehen sind die Quellensteuertarife ohnehin nicht so gestaltet, dass diese eine Steuerschuld aus einer nachträglich ordentlichen Veranlagung in je- dem Fall zu decken vermögen. Dies ergibt sich aus dem Umstand, dass sich der Quel- lensteuertarif nach dem gewogenen Mittel der Gemeindesteuern richtet (vgl. § 89 Abs. 2 und 4 StG). Bei Personen mit einem Wohnsitz in einer Gemeinde mit einem (vergleichsweise) höheren Steuertarif werden die Quellensteuern daher tendenziell nicht zur Deckung der effektiven Steuerschuld gemäss Veranlagungsentscheid ausrei- chen, da der Anteil für diese Gemeindesteuern zu gering berechnet ist. 2 QS.2021.12</w:t>
      </w:r>
    </w:p>
    <w:p>
      <w:r>
        <w:t>- 15 - Dem Pflichtigen wurden demgegenüber Quellensteuern zum Tarif A0N abge- zogen, bei denen nach dem Gesagten davon auszugehen ist, dass sie nicht für eine Steuerschuld im Kanton Zürich verwendet werden; abgesehen davon ist absehbar, dass sich die effektive Steuerlast durch die Geltendmachung der Unterhaltszahlungen in der nachträglich ordentlichen Veranlagung ohnehin reduzieren wird. Vor diesem Hin- tergrund erscheint es stossend dem Pflichtigen die Anwendung der Härtefallklausel zu verweigern, wenn gleichzeitig seine finanziellen Mittel nur knapp über dem Existenzmi- nimum liegen. Nach dem Gesagten erweist sich das staatliche Interesse an einer Steuersi- cherung ohne Anwendung der Härtefallklausel beim Pflichtigen als gering. Demgegen- über ist der Pflichtige durch den Quellensteuerabzug ohne Härtefalleinschlag in seiner Lebensweise unverhältnismässig eingeschränkt. Diese Einschränkung lässt sich im konkreten Fall nicht durch ein staatliches Interesse rechtfertigen. Somit überwiegt das Interesse des Pflichtigen an einer finanziellen Entlastung gegenüber dem öffentlichen Interesse der Steuersicherung. Entsprechend rechtfertigt sich die Gewährung eines Härtefalleinschlags. g) aa) Bei einem Härtefall können bei der Berechnung der Quellensteuer Kin- derabzüge bis höchstens zur Höhe der Unterhaltsbeiträge berücksichtigt werden (Art. 11 Abs. 1 QStV; Art. 22 Abs. 2 QVO I). In einem nächsten Schritt ist somit die Obergrenze des maximal möglichen Quellensteuertarifs zu ermitteln. bb) Die Quellensteuertarife umfassen die Staats-, Personal- und Gemeinde- steuern sowie die direkte Bundessteuer (Art. 33 Abs. 1 StHG; § 89 Abs. 3 StG; § 5 Abs. 2 QVO I). Die Ausscheidung des Steuerertrags für die direkte Bundessteuer er- folgt dabei nach den Anteilen, die sich aufgrund der angewendeten Tarife ergeben (§ 36 Abs. 2 QVO I). Da sich die Ausscheidung nach den jeweiligen Anteilen gemäss angewendetem Tarif bemessen, sind folglich sowohl die Abzüge für Kinder für die Staats- und Gemeindesteuern als auch die entsprechenden Abzüge für die direkte Bundessteuer zu berücksichtigen. Bei den Quellensteuertarifen bzw. pro Tarifstufe (ausgehend von der Anzahl Kinder entsprechend A1, A2 (…), H1, H2 (…) usw.) sind bei der Staats- und Gemein- desteuer ein Kinderabzug von Fr. 9'000.- sowie Versicherungsprämien pro Kind von 2 QS.2021.12</w:t>
      </w:r>
    </w:p>
    <w:p>
      <w:r>
        <w:t>- 16 - Fr. 1'300.- bzw. bei der direkten Bundessteuer ein Kinderabzug Fr. 6'500.- sowie Ver- sicherungsprämien pro Kind von Fr. 700.- berücksichtigt (Quellensteuertarife 2021 – Grundlagen und Berechnungsparameter, online unter: https://www.zh.ch/de/steuern- finanzen/steuern/quellensteuer/quellensteuer-tarife.html, zuletzt besucht am 8. De- zember 2022; § 34 Abs. 1 lit. a StG). Insgesamt sind somit Abzüge für Kinder von Fr. 17'500.- im Tarif bzw. pro Tarifstufe berücksichtigt. Demgegenüber berechnen sich die vom Pflichtigen geleisteten Alimente wie folgt: Alimente Kinder Alimente Alimente (…) Anteil Total und Ehefrau Miete Krankenkasse Ehefrau Alimente Januar – Fr. X.- Fr. X.- Fr. X.- Fr. X.- Oktober (monatlich) (monatlich) (monatlich) (Jan-Okt) Februar Fr. X.- Fr. X.- März Fr. X.- Fr. X.- Juni Fr. X.- Fr. X.- Fr. 118'622.- Der rechnerisch maximal mögliche Quellensteuertarif beträgt somit 6.78 (Fr. 118'622.- / Fr. 17'500.-). Weil die Quellensteuertarife nur ganze Kinderabzüge vor- sehen, ist auf den Quellensteuertarif A6 abzurunden, da Kinderabzüge bis höchstens zur Höhe der Unterhaltsbeiträge berücksichtigt werden können. Würde auf den Quel- lensteuertarif A7 aufgerundet, würden höhere Kinderabzüge als Unterhaltsbeiträge gewährt, was nicht zulässig wäre. cc) Fraglich ist nun, welcher Quellensteuertarif beim Pflichtigen anzuwenden ist. Bei der Härtefallregelung handelt es sich um eine Kann-Bestimmung, entsprechend sind die Quellensteuertarife A0 bis A6 möglich. Da davon auszugehen ist, dass der Pflichtige in der Steuerperiode 2021 im Kanton F steuerpflichtig ist, ist kein Grund er- sichtlich, weshalb dem Pflichtigen nicht der maximal mögliche Tarifeinschlag gewährt werden soll. Entsprechend ist beim Pflichtigen für die Monate Januar bis Oktober in der Steuerperiode 2021 der Quellensteuertarif A6N anzuwenden.</w:t>
      </w:r>
    </w:p>
    <w:p>
      <w:r>
        <w:rPr>
          <w:b/>
        </w:rPr>
        <w:t>E. 4</w:t>
      </w:r>
    </w:p>
    <w:p>
      <w:r>
        <w:t>Gestützt auf diese Erwägungen ist das Rechtsmittel teilweise gutzuheissen. Ausgangsgemäss sind die Kosten des Verfahrens den Parteien anteilsmässig aufzuer- 2 QS.2021.12</w:t>
      </w:r>
    </w:p>
    <w:p>
      <w:r>
        <w:t>- 17 - legen (Art. 144 Abs. 1 DBG und § 151 Abs. 1 StG). Dem Pflichtigen ist aufgrund des teilweisen Obsiegens eine reduzierte Parteientschädigung zuzusprechen (Art. 144 Abs. 4 DBG i.V.m. Art. 64 Abs. 1 - 3 des Bundesgesetzes über das Verwaltungsverfah- ren vom 20. Dezember 1968 sowie § 152 StG i.V.m. § 17 Abs. 2 des Verwaltungs- 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