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GR.2015.3 vom 20. Juni 2016</w:t>
      </w:r>
    </w:p>
    <w:p>
      <w:r>
        <w:t>ZH Steuerrekursgericht, 2016-06-20, DE</w:t>
      </w:r>
    </w:p>
    <w:p>
      <w:r>
        <w:rPr>
          <w:b/>
        </w:rPr>
        <w:t xml:space="preserve">Quelle: </w:t>
      </w:r>
      <w:r>
        <w:t>https://mcp.opencaselaw.ch/entscheid/zh_steuerrekursgericht_GR.2015.3</w:t>
      </w:r>
    </w:p>
    <w:p>
      <w:r>
        <w:t>FR: ZH_STEUERREKURSGERICHT GR.2015.3 du 20 juin 2016</w:t>
      </w:r>
    </w:p>
    <w:p>
      <w:r>
        <w:t>IT: ZH_STEUERREKURSGERICHT GR.2015.3 del 20 giugno 2016</w:t>
      </w:r>
    </w:p>
    <w:p>
      <w:pPr>
        <w:pStyle w:val="Heading2"/>
      </w:pPr>
      <w:r>
        <w:t>Regeste</w:t>
      </w:r>
    </w:p>
    <w:p>
      <w:r>
        <w:t>Grundstückgewinnsteuer. Wirtschaftliche Handänderung. Der Verkauf der Aktien einer Gesellschaft, die im massgebenden Zeitpunkt des Aktienverkaufs als Zwischenanbieterin im Bereich Entwicklung, Produktion und Handel von Hydraulikkomponenten und -systemen tätig war und diesen Betrieb nach dem Aktienverkauf an einem neuen Standort weiterführte, kommt keiner wirtschaftlicher Handänderung bezüglich der wirtschaftlich veräusserten Betriebsgrundstücke dar, da im Zeitpunkt der Aktienveräusserung ein operativ tätiger Betrieb vorlag und keinerlei Anhaltspunkte für eine Geschäftsaufgabe oder Liquidation des Betriebs vorlagen.</w:t>
      </w:r>
    </w:p>
    <w:p>
      <w:pPr>
        <w:pStyle w:val="Heading2"/>
      </w:pPr>
      <w:r>
        <w:t>Erwägungen</w:t>
      </w:r>
    </w:p>
    <w:p>
      <w:r>
        <w:rPr>
          <w:b/>
        </w:rPr>
        <w:t>E. 2</w:t>
      </w:r>
    </w:p>
    <w:p>
      <w:r>
        <w:t>GR.2015.3</w:t>
      </w:r>
    </w:p>
    <w:p>
      <w:r>
        <w:t>- 12 -</w:t>
      </w:r>
    </w:p>
    <w:p>
      <w:r>
        <w:rPr>
          <w:b/>
        </w:rPr>
        <w:t>E. 3</w:t>
      </w:r>
    </w:p>
    <w:p>
      <w:r>
        <w:t>Ausgangsgemäss sind die Verfahrenskosten der unterliegenden Rekurs- gegnerin aufzuerlegen (§ 151 Abs. 1 StG). Den Pflichtigen steht zudem antragsgemäss eine Parteientschädigung zu, da ihnen im Rekursverfahren ein erheblicher Aufwand erwachsen ist (§ 152 StG in Verbindung mit § 17 Abs. 2 des Verwaltungsrechtspflege- gesetzes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