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GR.2015.20 vom 14. Juni 2011</w:t>
      </w:r>
    </w:p>
    <w:p>
      <w:r>
        <w:t>ZH Steuerrekursgericht, 2011-06-14, DE</w:t>
      </w:r>
    </w:p>
    <w:p>
      <w:r>
        <w:rPr>
          <w:b/>
        </w:rPr>
        <w:t xml:space="preserve">Quelle: </w:t>
      </w:r>
      <w:r>
        <w:t>https://mcp.opencaselaw.ch/entscheid/zh_steuerrekursgericht_GR.2015.20</w:t>
      </w:r>
    </w:p>
    <w:p>
      <w:r>
        <w:t>FR: ZH_STEUERREKURSGERICHT GR.2015.20 du 14 juin 2011</w:t>
      </w:r>
    </w:p>
    <w:p>
      <w:r>
        <w:t>IT: ZH_STEUERREKURSGERICHT GR.2015.20 del 14 giugno 2011</w:t>
      </w:r>
    </w:p>
    <w:p>
      <w:pPr>
        <w:pStyle w:val="Heading2"/>
      </w:pPr>
      <w:r>
        <w:t>Regeste</w:t>
      </w:r>
    </w:p>
    <w:p>
      <w:r>
        <w:t>Ersatzbeschaffung von selbstgenutztem Wohneigentum. Der Steueraufschub fällt dahin, wenn die Ersatzliegenschaft innerhalb von fünf Jahren ihrem Zweck entfremdet wird. Dies trifft auch dann zu, wenn die bisher ausschliesslich bewohnte Liegenschaft zum Zweitwohnsitz oder Ferienobjekt mutiert.</w:t>
      </w:r>
    </w:p>
    <w:p>
      <w:pPr>
        <w:pStyle w:val="Heading2"/>
      </w:pPr>
      <w:r>
        <w:t>Erwägungen</w:t>
      </w:r>
    </w:p>
    <w:p>
      <w:r>
        <w:rPr>
          <w:b/>
        </w:rPr>
        <w:t>E. 2</w:t>
      </w:r>
    </w:p>
    <w:p>
      <w:r>
        <w:t>GR.2015.20</w:t>
      </w:r>
    </w:p>
    <w:p>
      <w:r>
        <w:t>- 6 - setzeswortlaut lediglich eine gleiche Nutzung der Ersatzliegenschaft verlange, müsse dies wirtschaftlich und objektbezogen verstanden werden. Eine fortdauernde Selbst- nutzung sei dann ausgeschlossen, wenn rechtlich oder wirtschaftlich über ein Grund- stück verfügt werde; dies treffe im Fall der Verlegung des Hauptwohnsitzes bei fortge- setzter und weitgehend gleichbleibender Nutzung des Objekts jedoch nicht zu. Die Rekursgegnerin berufe sich zu Unrecht auf das Präjudiz BGE 138 II 105, dem ein an- derer Sachverhalt zugrunde liege. Vielmehr lasse sich diesem Urteil entnehmen, dass es genüge, wenn im Zeitpunkt der Ersatzbeschaffung Gleichartigkeit von veräussertem Objekt und Ersatzobjekt vorliege.</w:t>
      </w:r>
    </w:p>
    <w:p>
      <w:r>
        <w:rPr>
          <w:b/>
        </w:rPr>
        <w:t>E. 3</w:t>
      </w:r>
    </w:p>
    <w:p>
      <w:r>
        <w:t>a) Der Rekurrent hat seinen Wohnsitz nach eigenen Angaben aus berufli- chen Gründen per … … 2013 nach Grossbritannien verlegt, weil er "ausserordentlich häufig und regelmässig" dort tätig sei. Es mag zutreffen, dass er mit seiner Ehefrau die Liegenschaft in F ausschliesslich selbst und insbesondere in den Wintermonaten häu- fig benutzt. Gleichwohl hat die Rekursgegnerin richtig erwogen, dass mit der Wohnsitz- verlegung eine Nutzungsänderung an der Liegenschaft in F eingetreten ist. Denn im Interesse der Rechtssicherheit und Praktikabilität kommt es einzig darauf an, ob der Grundeigentümer seinen Hauptwohnsitz am Ort einer Liegenschaft hat oder nicht. Ob und wie häufig er sich in einem anderen, ihm gehörenden Objekt aufhält, lässt sich kaum überprüfen. Auch der Rekurrent begnügt sich mit der pauschalen, weder näher substanziierten noch belegten Behauptung, dass er sich von November bis März "in wesentlichem Ausmass" in F aufhalte. Nach den Akten bestehen keine Anhaltspunkte, dass sich an den Wohnsitzverhältnissen in naher Zukunft etwas ändern wird. Unter diesen Umständen ist daher mit der Vorinstanz auf eine definitive Zweckentfremdung der Liegenschaft in F zu schliessen. b) Wie das Verwaltungsgericht im Entscheid SB.2013.00133 vom 25. Sep- tember 2014 (www.vgrzh.ch) erkannt hat, setzt die Nachveranlagung der zufolge Er- satzbeschaffung aufgeschobenen Grundstückgewinnsteuer keine steuerbare, entgeltli- che Handänderung voraus. Vielmehr kann bereits eine Nutzungsänderung steueraus- lösend sein, wenn etwa der neue Eigentümer das Ersatzobjekt nicht mehr ausschliess- lich selbst bewohnt. Damit schliesst sich das Verwaltungsgericht der übereinstimmen- den Auffassung der Finanzdirektion im Rundschreiben an die Gemeinden über den Aufschub der Grundstückgewinnsteuer bei Ersatzbeschaffung einer dauernd und aus- schliesslich selbstgenutzten Wohnliegenschaft (§ 216 Abs. 3 lit. i und § 226a StG; ZStB 2 GR.2015.20</w:t>
      </w:r>
    </w:p>
    <w:p>
      <w:r>
        <w:t>- 7 - I Nr. 37/461 [im Folgenden: Rundschreiben]) und von Felix Richner (Ersatzbeschaffung von selbstgenutztem Wohneigentum [Teil III], ZStP 2011, S. 5) an. In einem vergleich- baren Sachverhalt wie hier hat auch das Verwaltungsgericht Luzern die Nachbe- steuerung des aufgeschobenen Grundstückgewinns für rechtens befunden (VGr LU, 19. April 2012, VGE A 12 110, www.steuern.lu.ch). c) Die von Rechtsprechung und Lehre vertretene Auffassung, wonach neben der Handänderung auch die Nutzungsänderung am Ersatzgrundstück innert fünf Jah- ren seit der früheren, den Steueraufschub begründenden Veräusserung zur Nachver- anlagung führt, ist sachgerecht und praktikabel. Wie eine Handänderung lässt auch eine Nutzungsänderung die Rechtfertigung für einen Steueraufschub entfallen. Sodann dient die Statuierung einer Frist, innert der eine Nachveranlagung greift, der Rechtssi- cherheit; deren Bemessung auf fünf Jahre trägt den gegensätzlichen Interessen von Grundeigentümer und Gemeinwesen angemessen Rechnung. Demgegenüber würde die vom Rekurrenten verfochtene Sichtweise, wonach eine Nachveranlagung ausser Betracht falle, wenn im Zeitpunkt des Erwerbs des Ersatzobjekts dessen dauerhafte Nutzung beabsichtigt sei, darauf hinauslaufen, dass es mit Ausnahme von klaren Fäl- len einer Steuerumgehung kaum mehr zu einer Nachveranlagung käme. Wie das Ver- waltungsgericht im Entscheid SB.2011.00154 vom 14. März 2012 (www.vgrzh.ch) er- wogen hat, ging es dem Gesetzgeber mit dem Institut der Ersatzbeschaffung darum, das Wohneigentum und die Mobilität zu fördern. Im Unterschied zur Kaskadenersatz- beschaffung, bei welcher das Verwaltungsgericht im genannten, eine Praxisänderung begründenden Entscheid den Steueraufschub nur noch bei rechtsmissbräulichen kurz- fristigen Abfolgen von Handänderungen den Steueraufschub verwehrte, lässt sich im vorliegend zu beurteilenden Fall einer Zweckentfremdung eine privilegierte Besteue- rung nicht mehr rechtfertigen. Dies gilt umso mehr, als der Grundeigentümer seinen Hauptwohnsitz ins Ausland verlegt hat. d) Die vom Pflichtigen erhobene Rüge, dass die Nachveranlagung den verfas- sungsrechtlichen Grundsatz der Besteuerung nach der wirtschaftlichen Leistungsfähig- keit gemäss Art. 127 Abs. 2 der Bundesverfassung vom 18. April 1999 (BV) verletze, ist unbegründet. Er macht zu Recht nicht geltend, dass die Erhebung einer Grund- stückgewinnsteuer von Fr. 221'942.- bei einem erzielten Gewinn von Fr. 695'000.- übermässig sei. Ferner kann in der Verweigerung des fortdauernden Steueraufschubs im Fall der Zweckentfremdung innert fünf Jahren keine solche Verfassungswidrigkeit erblickt werden. 2 GR.2015.20</w:t>
      </w:r>
    </w:p>
    <w:p>
      <w:r>
        <w:t>- 8 - e) Ebenso wenig ist in der von der Vorinstanz vorgenommenen Auslegung der Bestimmungen von § 216 Abs. 3 lit. i i.V.m. § 226a StG eine Missachtung von Art. 12 Abs. 3 lit. e StHG zu erblicken. Danach wird die Besteuerung aufgeschoben bei Ver- äusserung einer dauernd und ausschliesslich selbstgenutzten Wohnliegenschaft, so- weit der dabei erzielte Erlös innert angemessener Frist zum Erwerb oder zum Bau ei- ner gleichgenutzten Ersatzliegenschaft in der Schweiz verwendet wird. Wenn sich die eidgenössischen Räte nach den Vorbringen des Rekurrenten nicht auf eine Revision von Art. 12 Abs. 3 lit. e StHG mit ausdrücklich verankerter Fünfjahresfrist einigen konn- ten, lässt sich daraus keine Verpflichtung der Kantone ableiten, die bisherige Praxis zu lockern. f) Die Grundstückgewinnsteuer wird berechnet, wie wenn nie eine Ersatzbe- schaffung erfolgt wäre (Ziff. 23 des Rundschreibens). Die Nachbesteuerung unterliegt im interkantonalen Recht dem gleichen kantonalen Grundstückgewinnsteuerrecht, wel- chem der Grundstückgewinn ohne Besteuerungsaufschub unterlegen hätte (Roman Sieber in: Kommentar zum Schweizerischen Steuerrecht, Interkantonales Steuerrecht, Basel 2011, § 25 N. 54). Die von der Rekursgegnerin in der Nachsteuer-Verfügung vom 17. Dezem- ber 2014 vorgenommene und im angefochtenen Einspracheentscheid vom 7. Mai 2015 bestätigte Steuerberechnung ist vom Pflichtigen nicht angefochten worden und erweist sich nach den Akten als zutreffend.</w:t>
      </w:r>
    </w:p>
    <w:p>
      <w:r>
        <w:rPr>
          <w:b/>
        </w:rPr>
        <w:t>E. 4</w:t>
      </w:r>
    </w:p>
    <w:p>
      <w:r>
        <w:t>a) § 126 Abs. 1 i.V.m. § 206 StG verpflichtet die zuständige Behörde, den Beteiligten ihren Entscheid mit Begründung schriftlich mitzuteilen. Welche Dichte die Begründung aufweisen muss, hängt von den Umständen des Einzelfalls ab. Allgemein dient die Begründung vor allem dazu, dass der Steuerpflichtige die Tragweite des Ent- scheids erkennen und diesen sachgerecht anfechten kann (Richner/Frei/Kaufmann/ Meuter, § 139 N 32 f. mit Hinweisen auf die Rechtsprechung, auch zum Folgenden). Je grösser der Spielraum, über den die Behörde infolge Ermessens und unbestimmter Rechtsbegriffe verfügt, und je stärker ein Entscheid in die individuellen Rechte ein- greift, desto höhere Anforderungen sind an die Begründung zu stellen und desto detail- lierter und konkreter muss die Auseinandersetzung mit dem Tatbestand und den Rechtsfolgen ausfallen. 2 GR.2015.20</w:t>
      </w:r>
    </w:p>
    <w:p>
      <w:r>
        <w:t>- 9 - b) Aus dem Einspracheentscheid geht die Rechtsauffassung der Grundsteu- erbehörde klar hervor, dass die Aufgabe der ausschliesslichen Selbstnutzung des Er- satzobjekts durch den Grundeigentümer zum Hinfall des Steueraufschubs und somit zur Nachveranlagung der am 14. Juni 2011 aufgeschobenen Grundstückgewinnsteuer führt. Daran ändert nichts, dass sich die Behörde zu Unrecht auf das Präjudiz BGE 138 II 105 berufen hat, das eine andere Sachverhaltskonstellation beschlägt. Denn der Ein- spracheentscheid hält klar fest, dass die Wohnsitzverlegung und die damit verbundene Umwandlung der ständig bewohnten Liegenschaft zu einer Zweit- oder Ferienwohnung den Steueraufschub entfallen lasse. Gegen diese Rechtsauffassung konnte sich der Rekurrent zur Wehr setzen, was er auch ausführlich getan hat. Diese Erwägungen führen zur Abweisung des Rekurses.</w:t>
      </w:r>
    </w:p>
    <w:p>
      <w:r>
        <w:rPr>
          <w:b/>
        </w:rPr>
        <w:t>E. 5</w:t>
      </w:r>
    </w:p>
    <w:p>
      <w:r>
        <w:t>Bei diesem Ausgang des Verfahrens sind die Gerichtskosten dem Rekur- renten, unter Verrechnung mit dem geleisteten Kostenvorschuss, aufzuerlegen (§ 151 Abs. 1 StG) und muss ihm eine Parteientschädigung von vornherein versagt bleiben (§ 17 Abs. 2 des Verwaltungsrechtspflegegesetzes vom 24. Mai 1959/6. Septem- 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