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GR.2011.1 vom 18. April 2011</w:t>
      </w:r>
    </w:p>
    <w:p>
      <w:r>
        <w:t>ZH Steuerrekursgericht, 2011-04-18, DE</w:t>
      </w:r>
    </w:p>
    <w:p>
      <w:r>
        <w:rPr>
          <w:b/>
        </w:rPr>
        <w:t xml:space="preserve">Quelle: </w:t>
      </w:r>
      <w:r>
        <w:t>https://mcp.opencaselaw.ch/entscheid/zh_steuerrekursgericht_GR.2011.1</w:t>
      </w:r>
    </w:p>
    <w:p>
      <w:r>
        <w:t>FR: ZH_STEUERREKURSGERICHT GR.2011.1 du 18 avril 2011</w:t>
      </w:r>
    </w:p>
    <w:p>
      <w:r>
        <w:t>IT: ZH_STEUERREKURSGERICHT GR.2011.1 del 18 aprile 2011</w:t>
      </w:r>
    </w:p>
    <w:p>
      <w:pPr>
        <w:pStyle w:val="Heading2"/>
      </w:pPr>
      <w:r>
        <w:t>Regeste</w:t>
      </w:r>
    </w:p>
    <w:p>
      <w:r>
        <w:t>Interkantonales Steuerrecht, Verlustverrechnung, Umstrukturierung, Fusion, Rückwirkung, Zwischenabschluss, Abschreibung, Verfahrensmangel, Rückweisung Mit Handelsregistereintrag vom 11. Juni 2009 übernahm die Pflichtige eine Tochtergesellschaft, welche zuvor am 4. März 2009 das streitbetroffene Grundstück veräussert hatte. Zwar ist die Rekursgegnerin vorliegend nicht verpflichtet, die rückwirkende Fusion anzuerkennen, da mit dem von der Rekurrentin geltend gemachten Abschreibungsbedarf eine wichtige Änderung in der Vermögenslage eintrat (Art. 11 Abs. 1 FusG). Indessen kann die Rekursgegnerin nicht geltend machen, die nach der Handänderung erfolgte Fusion vom 11. Juni 2009 habe an der Steuerforderung nichts mehr ändern können. Denn eine interkantonale Verlustverrechnung erfolgt immer mit Bezug auf eine ganze Steuerperiode. Der genaue Zeitpunkt einer Handänderung während einer Steuerperiode kann für die Frage, welchen Verlustanteil das betreffende Gemeinwesen übernehmen muss, keine Rolle spielen. Da die Rekursgegnerin mit Bezug auf die Höhe des anzurechnenden Verlustes (Abschreibungsbedarf auf Liegenschaften) kein Beweisverfahren durchführte, ist die Sache an die Vorinstanz zurückzuweisen.</w:t>
      </w:r>
    </w:p>
    <w:p>
      <w:pPr>
        <w:pStyle w:val="Heading2"/>
      </w:pPr>
      <w:r>
        <w:t>Erwägungen</w:t>
      </w:r>
    </w:p>
    <w:p>
      <w:r>
        <w:rPr>
          <w:b/>
        </w:rPr>
        <w:t>E. 2</w:t>
      </w:r>
    </w:p>
    <w:p>
      <w:r>
        <w:t>GR.2011.1</w:t>
      </w:r>
    </w:p>
    <w:p>
      <w:r>
        <w:t>- 11 - gerichts insbesondere dann auszugehen, wenn über ein wesentliches Element des Sachverhalts keine Untersuchung geführt worden ist (RB 2001 Nr. 93, RB 2000 Nr. 130 = StE 2002 B 93.5 Nr. 23 = ZStP 2001, 39; ZStP 2000, 291). m) Die Rekursgegnerin untersuchte die Höhe der in der Steuerperiode einge- tretenen Verluste und Verlustvorträge nicht, da sie die Auffassung vertrat, diese seien vor der Fusion der E-Gesellschaften entstanden. Die Steuerforderung sei vielmehr als Folge eines Verkaufs durch die rein zürcherische B AG entstanden, so dass in diesem Zusammenhang auch ein interkantonales Doppelbesteuerungsverbot nicht zu beach- ten sei. Wie gesagt ist vorliegend jedoch nach der Fusion der E-Gesellschaften zur Ermittlung des Gewinns und der Verluste auf das gesamte Steuerjahr 2009 abzustel- len, so dass damit sowohl der Abschreibungsbedarf als auch die Gründe für einen sol- chen auf den Liegenschaften I und J in Zürich zu untersuchen sind. Wie die Rekurs- gegnerin in der Rekursantwort zutreffend erwähnt, ist es fraglich, ob eine Liegenschaft an bester Lage und in Zeiten steigender Preise kurz nach dem Erwerb massiv abge- schrieben werden muss. Es ist indessen Aufgabe der Rekursgegnerin, diesen für den Ausgang des Verfahrens wesentlichen Aspekt des Sachverhalts selber zu untersuchen. Der Pflichti- gen kann nicht vorgeworfen werden, sie habe den Sachverhalt nicht substanziiert oder nachgewiesen, wenn sie im Beweisverfahren gar nicht aufgefordert wurde, alle wesent- lichen Aspekte des Sachverhalts darzulegen und nachzuweisen. Da ein bedeutsamer Verfahrensmangel vorliegt, kann er nicht durch das Steuerrekursgericht geheilt wer- den. Die Sache muss daher an die Vorinstanz zurückgewiesen werden. Die Rekurs- gegnerin ist im zweiten Rechtsgang gehalten, den Abschreibungsbedarf und dessen Gründe umfassend abzuklären.</w:t>
      </w:r>
    </w:p>
    <w:p>
      <w:r>
        <w:rPr>
          <w:b/>
        </w:rPr>
        <w:t>E. 3</w:t>
      </w:r>
    </w:p>
    <w:p>
      <w:r>
        <w:t>a) Somit ist der angefochtene Einspracheentscheid in teilweiser Gutheis- sung des Rekurses aufzuheben. Die Sache ist zur weiteren Untersuchung und zum Neuentscheid im Sinn der vorstehenden Erwägungen an die Rekursgegnerin zurück- zuweisen. b) Infolge des materiell ungewissen Verfahrensausgangs sind die Verfahrens- kosten den Parteien je zur Hälfte aufzuerlegen (§ 151 Abs. 1 StG) und sind keine Par- 2 GR.2011.1</w:t>
      </w:r>
    </w:p>
    <w:p>
      <w:r>
        <w:t>- 12 - teientschädigungen zuzusprechen (§ 152 StG i.V.m. § 17 Abs. 2 des Verwaltungs- rechtspflegegesetzes vom 24. Mai 1959/8.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