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GR.2009.58 vom 10. Juni 2010</w:t>
      </w:r>
    </w:p>
    <w:p>
      <w:r>
        <w:t>ZH Steuerrekursgericht, 2010-06-10, DE</w:t>
      </w:r>
    </w:p>
    <w:p>
      <w:r>
        <w:rPr>
          <w:b/>
        </w:rPr>
        <w:t xml:space="preserve">Quelle: </w:t>
      </w:r>
      <w:r>
        <w:t>https://mcp.opencaselaw.ch/entscheid/zh_steuerrekursgericht_GR.2009.58</w:t>
      </w:r>
    </w:p>
    <w:p>
      <w:r>
        <w:t>FR: ZH_STEUERREKURSGERICHT GR.2009.58 du 10 juin 2010</w:t>
      </w:r>
    </w:p>
    <w:p>
      <w:r>
        <w:t>IT: ZH_STEUERREKURSGERICHT GR.2009.58 del 10 giugno 2010</w:t>
      </w:r>
    </w:p>
    <w:p>
      <w:pPr>
        <w:pStyle w:val="Heading2"/>
      </w:pPr>
      <w:r>
        <w:t>Regeste</w:t>
      </w:r>
    </w:p>
    <w:p>
      <w:r>
        <w:t>Eine Ersatzbeschaffung setzt voraus, dass es zu einem Wohnorts- oder Wohnsitzwechsel kommt. Werden aber bestehende Eigentumsrechte ausgedehnt - in casu hat die Pflichtige nach Abbruch ihrer Altliegenschaft ein Mehrfamilienhaus erstellt und einzelne Wohnunge veräussert und sich mit dem Erlös daraus die auf dem selben Grundstück entstandene Attikawohnung finanziert - kann nicht von einem Wohnsitzwechsel gesprochen werden. Betreffend die Verkehrswerte vor zwanzig Jahren ist aufgrund der übereinstimmenden Parteianträge zu entscheiden.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GR.2009.58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