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ES.2014.2 vom 7. November 2013</w:t>
      </w:r>
    </w:p>
    <w:p>
      <w:r>
        <w:t>ZH Steuerrekursgericht, 2013-11-07, DE</w:t>
      </w:r>
    </w:p>
    <w:p>
      <w:r>
        <w:rPr>
          <w:b/>
        </w:rPr>
        <w:t xml:space="preserve">Quelle: </w:t>
      </w:r>
      <w:r>
        <w:t>https://mcp.opencaselaw.ch/entscheid/zh_steuerrekursgericht_ES.2014.2</w:t>
      </w:r>
    </w:p>
    <w:p>
      <w:r>
        <w:t>FR: ZH_STEUERREKURSGERICHT ES.2014.2 du 7 novembre 2013</w:t>
      </w:r>
    </w:p>
    <w:p>
      <w:r>
        <w:t>IT: ZH_STEUERREKURSGERICHT ES.2014.2 del 7 novembre 2013</w:t>
      </w:r>
    </w:p>
    <w:p>
      <w:pPr>
        <w:pStyle w:val="Heading2"/>
      </w:pPr>
      <w:r>
        <w:t>Regeste</w:t>
      </w:r>
    </w:p>
    <w:p>
      <w:r>
        <w:t>Bei der testamentarischen Verfügung, die mit einer Leibrente bedachte Schwester der Erblasserin habe als "Gegenleistung" nach ihrem Ableben ihre Eigentumswohnung an die Söhne der Erblasserin zu vererben, handelt es sich um eine zulässige und klagbare Auflage im Sinn von Art. 482 ZGB und nicht bloss um eine unverbindliche Aufforderung. Die Auflage mindert daher den Wert des Vermächtnisses.</w:t>
      </w:r>
    </w:p>
    <w:p>
      <w:pPr>
        <w:pStyle w:val="Heading2"/>
      </w:pPr>
      <w:r>
        <w:t>Erwägungen</w:t>
      </w:r>
    </w:p>
    <w:p>
      <w:r>
        <w:rPr>
          <w:b/>
        </w:rPr>
        <w:t>E. 2</w:t>
      </w:r>
    </w:p>
    <w:p>
      <w:r>
        <w:t>ES.2014.2</w:t>
      </w:r>
    </w:p>
    <w:p>
      <w:r>
        <w:t>- 3 -</w:t>
      </w:r>
    </w:p>
    <w:p>
      <w:r>
        <w:rPr>
          <w:b/>
        </w:rPr>
        <w:t>E. 3</w:t>
      </w:r>
    </w:p>
    <w:p>
      <w:r>
        <w:t>Jedenfalls sind im Falle, dass eine Steuer geschuldet ist, alle Kosten im Zu- sammenhang mit diesem Verfahren zu berücksichtigen (Gerichtskosten, Par- teikosten, solche Rechnung vom 24.12.2013 von Fr. 15'573.30, bezahlt mit Valuta vom 30.12.2013). Es ist daher eventualiter wie folgt zu verfügen: Die Berechnungsgrundlage der Steuer reduziert sich um die Parteikosten und Ge- richtskosten, die bis zur rechtskräftigen Erledigung anfallen.</w:t>
      </w:r>
    </w:p>
    <w:p>
      <w:r>
        <w:rPr>
          <w:b/>
        </w:rPr>
        <w:t>E. 4</w:t>
      </w:r>
    </w:p>
    <w:p>
      <w:r>
        <w:t>a) Wie in E. 2 festgehalten, entsteht der Steueranspruch mit dem Erbanfall, d.h. mit dem Tod des Erblassers. Dies ist vorliegend der … 2010. Es steht fest, dass die Pflichtige im Testament ihrer Schwester mit einem aus dem Nachlass zu entrich- tenden Vermächtnis von Fr. 80'000.- pro Jahr bedacht worden ist. Im Streit liegt die Frage, ob die Pflichtige hierfür zu einer Gegenleistung verpflichtet war oder nicht. Sie räumt ein, dass sie mit der Erblasserin diesbezüglich keinen Vertrag geschlossen hat. Indessen erblickt sie eine solche Verpflichtung im Testament der Erblasserin vom … 2010. 2 ES.2014.2</w:t>
      </w:r>
    </w:p>
    <w:p>
      <w:r>
        <w:t>- 6 - b) Laut Art. 484 Abs. 1 ZGB kann der Erblasser einem Bedachten, ohne ihn als Erben einzusetzen, einen Vermögensvorteil als Vermächtnis zuwenden. Art. 482 ZGB erlaubt es dem Erblasser, seinen Verfügungen Auflagen oder Bedingungen anzu- fügen, deren Vollziehung, sobald die Verfügung zur Ausführung gelangt ist, jedermann verlangen darf, der an ihnen ein Interesse hat (Abs. 1). Unsittliche oder rechtswidrige Auflagen und Bedingungen machen die Verfügung ungültig (Abs. 2). Bei der Auflage handelt es sich um eine Verfügung von Todes wegen, die einen gesetzlichen oder ein- gesetzten Erben oder einen Vermächtnisnehmer verpflichtet, etwas Bestimmtes zu tun oder zu unterlassen, wobei diese Verpflichtung nicht ein Forderungsrecht eines Be- rechtigten, sondern bloss einen klagbaren Anspruch der interessierten Personen auf Vollziehung begründet (BGE 99 II 379, 94 II 91 f.; Daniel Staehelin, in: Basler Kom- mentar, 2011, Art. 482 N 14 ZGB). Gegenstand einer Auflage können alle rechtlich zulässigen Handlungen und Unterlassungen sein, somit alles, was als Gegenstand einer Forderung in Frage kommt; dabei muss nach bundesgerichtlicher Rechtspre- chung (BGE 101 II 30) kein Bezug zu den Nachlassobjekten bestehen (Staehelin, Art. 482 N 15 ZGB). Als zulässig, d.h. weder rechts- noch sittenwidrig gelten sog. kap- tatorische Verfügungen, d.h. Zuwendungen unter der Bedingung, dass der Begünstigte seinerseits den Erblasser oder einen Dritten begünstigt (OGr ZH, ZR 1938, 289; Stae- helin, Art. 482 N 41, auch zum Folgenden). Dabei kann etwa als Bedingung statuiert werden, dass der Begünstigte sein Testament bis zum Tod des Erblassers nicht wider- ruft; zu jenem Zeitpunkt steht dann fest, ob die Bedingung eingetreten oder ausgefallen ist. Möglich wäre auch, die Begünstigung mit der Resolutivbedingung zu versehen, dass der Begünstigte bei seinem späteren Tod einen Dritten begünstigt. c) Entgegen der Auffassung des Rekursgegners ist die von der Erblasserin im Testament statuierte "Gegenleistung", wonach ihre Söhne nach dem Ableben der Pflichtigen deren Eigentumswohnung erhalten sollen, nicht als unverbindlicher Wunsch, sondern als Auflage im Sinn von Art. 482 Abs. 1 ZGB zu würdigen. Die An- ordnung der Erblasserin erscheint als nachvollziehbar und sinnvoll: Die Schwester soll zu deren Lebzeiten mit einer grosszügigen Rente bedacht werden, wenn diese im Ge- genzug ihre Eigentumswohnung an die Neffen vererbt. Eine Sittenwidrigkeit ist darin nicht zu erblicken. Demgegenüber widerspricht die Annahme des Rekursgegners, dass die Erblasserin die von der Schwester für die Rente erwartete Gegenleistung als blos- se Aufforderung verstanden haben wolle, der Lebenserfahrung. Zwar wurde die Pflich- tige durch das Testament nicht gebunden, wie sie über ihre Eigentumswohnung zu Lebzeiten oder auf den Zeitpunkt ihres Ablebens verfügen wollte. Wenn sie indessen 2 ES.2014.2</w:t>
      </w:r>
    </w:p>
    <w:p>
      <w:r>
        <w:t>- 7 - die Wohnung entgegen dem Willen der Erblasserin nicht an deren Söhne vererbt hätte, wäre dadurch die Auflage, an welche die Rentenleistung geknüpft war, nicht erfüllt worden. Wie die Pflichtige zu Recht geltend macht, hätte die Nichterfüllung der Auflage zum Wegfall der Rentenverpflichtung und zur Rückforderung der bereits geleisteten Betreffnisse aus ungerechtfertigter Bereicherung im Sinn von Art. 62 OR geführt. Schliesslich liegt es in der Konstellation des vorliegenden Sachverhalts, dass die Ren- tenleistungen aus dem Nachlass und die Gegenleistung der Vermächtnisnehmerin zeitlich auseinanderfallen; der Charakter der Auflage entfällt dadurch nicht. Nach dem Gesagten liegt dem Einspracheentscheid die unzutreffende Rechtsauffassung zugrunde, dass dem Vermächtnis im – ebenfalls umstrittenen – Barwert von Fr. 1'019'200.- keine Gegenleistung der Pflichtigen gegenüberstehe. Dies führt zur Aufhebung des angefochtenen Einspracheentscheids. d) Ob der Pflichtigen unter den genannten Umständen überhaupt ein steuer- barer Vermögenswert zugeflossen ist und – wenn ja – in welcher Höhe, hat das kanto- nale Steueramt aufgrund seiner unrichtigen rechtlichen Würdigung nicht näher geprüft. Jedenfalls kann die von der Pflichtigen zu erbringende Gegenleistung nicht dem Betrag von Fr. 195'000.- gleichgesetzt werden, den sie unter dem Titel "Verlust über die Ver- fügungsgewalt des Stockwerkeigentums" geltend macht. Zur Behebung dieses Unter- suchungsmangels ist die Sache nach § 43 Abs. 3 ESchG i.V.m. § 149 Abs. 3 StG zur weiteren Untersuchung und zum Neuentscheid an die Vorinstanz zurückzuweisen.</w:t>
      </w:r>
    </w:p>
    <w:p>
      <w:r>
        <w:rPr>
          <w:b/>
        </w:rPr>
        <w:t>E. 5</w:t>
      </w:r>
    </w:p>
    <w:p>
      <w:r>
        <w:t>Nach der neueren Rechtsprechung gilt eine Rückweisung an die Vorinstanz mit offenem Prozessausgang in Bezug auf die Kosten- und Entschädigungsregelung als Obsiegen der rechtsmittelführenden Partei – und zwar unabhängig davon, welche Anträge diese gestellt hat (BGr, 28. April 2014, 2C_846/2013, E. 3.2 und 3.3; VGr, 28. August 2014, VB.2014.00106, E. 2.3). Die Kosten des Rekursverfahrens sind da- her dem Rekursgegner aufzuerlegen (§ 43 Abs. 3 ESchG i.V.m. § 151 Abs. 1 StG). Ferner ist dieser zu verpflichten, der Rekurrentin eine Parteientschädigung in ange- messener Höhe von Fr. 4'000.- (Mehrwertsteuer inbegriffen) zu bezahlen.</w:t>
      </w:r>
    </w:p>
    <w:p>
      <w:r>
        <w:rPr>
          <w:b/>
        </w:rPr>
        <w:t>E. 6</w:t>
      </w:r>
    </w:p>
    <w:p>
      <w:r>
        <w:t>Der vorliegende Entscheid kann mit Beschwerde angefochten werden, so- weit er einen nicht wiedergutzumachenden Nachteil bewirken könnte oder die Gutheis- sung der Beschwerde sofort einen Endentscheid herbeiführen und damit einen bedeu- 2 ES.2014.2</w:t>
      </w:r>
    </w:p>
    <w:p>
      <w:r>
        <w:t>- 8 - tenden Aufwand an Zeit und Kosten für ein weitläufiges Beweisverfahren ersparen würde (§ 19a Abs. 2 des Verwaltungsrechtspflegegesetzes vom 24. Mai 1959/ 22. März 2010 [VRG] i.V.m. Art. 93 Abs. 1 des Bundesgesetzes über das Bundesge- richt vom 17. Juni 2005 [Bundesgerichtsgesetz]).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