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DB.2023.89 vom 20. April 2016</w:t>
      </w:r>
    </w:p>
    <w:p>
      <w:r>
        <w:t>ZH Steuerrekursgericht, 2016-04-20, DE</w:t>
      </w:r>
    </w:p>
    <w:p>
      <w:r>
        <w:rPr>
          <w:b/>
        </w:rPr>
        <w:t xml:space="preserve">Quelle: </w:t>
      </w:r>
      <w:r>
        <w:t>https://mcp.opencaselaw.ch/entscheid/zh_steuerrekursgericht_DB.2023.89</w:t>
      </w:r>
    </w:p>
    <w:p>
      <w:r>
        <w:t>FR: ZH_STEUERREKURSGERICHT DB.2023.89 du 20 avril 2016</w:t>
      </w:r>
    </w:p>
    <w:p>
      <w:r>
        <w:t>IT: ZH_STEUERREKURSGERICHT DB.2023.89 del 20 aprile 2016</w:t>
      </w:r>
    </w:p>
    <w:p>
      <w:pPr>
        <w:pStyle w:val="Heading2"/>
      </w:pPr>
      <w:r>
        <w:t>Regeste</w:t>
      </w:r>
    </w:p>
    <w:p>
      <w:r>
        <w:t>Zustellung uneingeschriebener B-Postsendungen. Beweislast der Veranlagungsbehörde für das Datum der Zustellung uneingeschriebener Sendungen. Wenn der Steuerpflichtige implizit behauptet, die Veranlagungsverfügung frühestens 23 Tage nach deren Erstellungsdatum per B-Post erhalten zu haben, darf diese Darstellung nicht als unglaubwürdig verworfen werden, wenn es - wie vorliegend - keine konkreten Indizien für eine früher erfolgte Zustellung gibt (Bestätigung der bisherigen bundesgerichtlichen Rechtsprechung [B 93.6 Nr. 22 vom 5. Juli 2000]). Rückweisung ins Einspracheverfahren.</w:t>
      </w:r>
    </w:p>
    <w:p>
      <w:pPr>
        <w:pStyle w:val="Heading2"/>
      </w:pPr>
      <w:r>
        <w:t>Erwägungen</w:t>
      </w:r>
    </w:p>
    <w:p>
      <w:r>
        <w:rPr>
          <w:b/>
        </w:rPr>
        <w:t>E. 2</w:t>
      </w:r>
    </w:p>
    <w:p>
      <w:r>
        <w:t>DB.2023.89</w:t>
      </w:r>
    </w:p>
    <w:p>
      <w:r>
        <w:t>- 11 - f) Diese Erwägungen führen zur teilweisen Gutheissung der Beschwerde und zur Rückweisung der Sache an das kantonale Steueramt zur materiellen Behandlung im Einspracheverfahren.</w:t>
      </w:r>
    </w:p>
    <w:p>
      <w:r>
        <w:rPr>
          <w:b/>
        </w:rPr>
        <w:t>E. 3</w:t>
      </w:r>
    </w:p>
    <w:p>
      <w:r>
        <w:t>a) Eine Rückweisung an die Vorinstanz mit offenem Prozessausgang gilt in Bezug auf die Kostenregelung als Obsiegen der rechtsmittelführenden Partei – und zwar unabhängig davon, welche Anträge diese gestellt hat (BGr, 28. April 2014, 2C_845/2013, E. 3.2 und 3.3; VGr, 20. April 2016, SB.2015.00073, E. 6.1). Die Gerichts- kosten sind daher dem Beschwerdegegner aufzuerlegen (Art. 144 Abs. 1 DBG). b)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des Verwaltungs- rechtspflegegesetzes vom 24. Mai 1959 [VRG] i.V.m. Art. 93 Abs. 1 des Bundesgeset- zes über das Bundesgericht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