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DB.2023.6 vom 25. Juni 2021</w:t>
      </w:r>
    </w:p>
    <w:p>
      <w:r>
        <w:t>ZH Steuerrekursgericht, 2021-06-25, DE</w:t>
      </w:r>
    </w:p>
    <w:p>
      <w:r>
        <w:rPr>
          <w:b/>
        </w:rPr>
        <w:t xml:space="preserve">Quelle: </w:t>
      </w:r>
      <w:r>
        <w:t>https://mcp.opencaselaw.ch/entscheid/zh_steuerrekursgericht_DB.2023.6</w:t>
      </w:r>
    </w:p>
    <w:p>
      <w:r>
        <w:t>FR: ZH_STEUERREKURSGERICHT DB.2023.6 du 25 juin 2021</w:t>
      </w:r>
    </w:p>
    <w:p>
      <w:r>
        <w:t>IT: ZH_STEUERREKURSGERICHT DB.2023.6 del 25 giugno 2021</w:t>
      </w:r>
    </w:p>
    <w:p>
      <w:pPr>
        <w:pStyle w:val="Heading2"/>
      </w:pPr>
      <w:r>
        <w:t>Regeste</w:t>
      </w:r>
    </w:p>
    <w:p>
      <w:r>
        <w:t>Gewerbsmässiger Liegenschaftenhandel - Qualifikation des Verkaufs von 8 Liegenschaften (von insgesamt 15 Liegenschaften, die der Pflichtige von 2004 an erworben hatte) innerhalb derselben Steuerperiode als gewerbsmässiger Liegenschaftenhandel. Dies wegen eines sehr hohen Anteil an Fremdfinanzierung (teils bis 100%) und weil der Pflichtige Inhaber und Organ diverser Gesellschaften ist bzw. war, die im Immobilienbereich tätig sind. Abweisung.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A,</w:t>
      </w:r>
    </w:p>
    <w:p>
      <w:r>
        <w:rPr>
          <w:b/>
        </w:rPr>
        <w:t>E. 2</w:t>
      </w:r>
    </w:p>
    <w:p>
      <w:r>
        <w:t>a) Der Pflichtige hat in den Jahren 2004 bis 2018 eine Reihe von Liegen- schaftstransaktionen abgeschlossen: Liegenschaft Kanton Erwerb Verkauf Haltedauer …strasse 99 E 2004 2017 13 Jahre …strasse 61/63 E 2005 2010 5 Jahre …strasse 8 E 2006 2013 7 Jahre …strasse 1/3 F 2006 2017 11 Jahre …-Strasse 71 E 2008 2017 9 Jahre 1 DB.2023.6</w:t>
      </w:r>
    </w:p>
    <w:p>
      <w:r>
        <w:t>- 6 - …strasse 177 E 2008 - - …1-3 F 2009 2017 8 Jahre …strasse 11 F 2010 2017 7 Jahre … 7 (30% Anteil) E 2010 - - …weg 2 G 2010 2017 7 Jahre …strasse 9 F 2010 2017 7 Jahre …strasse 9 F 2010 2017 7 Jahre …strasse 42/44 E 2010 2018 8 Jahre …strasse 1/3 F 2011 2018 7 Jahre …strasse 63* H 2015 - - * selbstbewohnt Gemäss unbestrittener Sachdarstellung des kantonalen Steueramts wurden die Liegenschaften sodann mittels Hypotheken sowie mit privaten Darlehen finanziert, wobei die Fremdfinanzierung durchwegs über 83% lag und teils sogar 100% erreichte: Liegenschaft Kaufpreis Hypothek Privatkredit FFG* …strasse 99 540'000.- 450'000.- 90'000.- 100% …strasse 61/63 8'280'000.- 5'947'200.- 2'244'500.- 98% …strasse 8 1'208'000.- 931'284.- 250'000.- 97% …strasse 1/3 562'500.- 0.- 562'500.- 100% …-Strasse 71 1'100'000.- 831'500.- 90'000.- 83% …strasse 177 515'000.- 397'500.- 90'000.- 94% … 1-3 3'660'000.- 2'946'000.- 700'000.- 99% …strasse 11 5'900'000.- 4'640'000.- … 7 1'200'000.- 955'200.- (30% Anteil) - …weg 2 2'170'000.- 1'727'500.- .0 0 % 0 …strasse 9 2'850'000.- 2'118'500.- '0 7 9 9</w:t>
      </w:r>
    </w:p>
    <w:p>
      <w:r>
        <w:rPr>
          <w:b/>
        </w:rPr>
        <w:t>E. 7</w:t>
      </w:r>
    </w:p>
    <w:p>
      <w:r>
        <w:t>Diese Erwägungen führen zur Abweisung der Beschwerde. Ausgangsge- mäss sind die Kosten des Beschwerdeverfahrens den Pflichtigen aufzuerlegen (Art. 144 Abs. 1 DBG) und steht diesen keine Parteientschädigung zu (Art. 144 Abs. 4 DBG i.V.m. Art. 64 Abs. 1 - 3 des Bundesgesetzes über das Verwaltungsverfahren vom 20. Dezember 1968).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