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DB.2023.24 vom 27. März 2024</w:t>
      </w:r>
    </w:p>
    <w:p>
      <w:r>
        <w:t>ZH Steuerrekursgericht, 2024-03-27, DE</w:t>
      </w:r>
    </w:p>
    <w:p>
      <w:r>
        <w:rPr>
          <w:b/>
        </w:rPr>
        <w:t xml:space="preserve">Quelle: </w:t>
      </w:r>
      <w:r>
        <w:t>https://mcp.opencaselaw.ch/entscheid/zh_steuerrekursgericht_DB.2023.24</w:t>
      </w:r>
    </w:p>
    <w:p>
      <w:r>
        <w:t>FR: ZH_STEUERREKURSGERICHT DB.2023.24 du 27 mars 2024</w:t>
      </w:r>
    </w:p>
    <w:p>
      <w:r>
        <w:t>IT: ZH_STEUERREKURSGERICHT DB.2023.24 del 27 marzo 2024</w:t>
      </w:r>
    </w:p>
    <w:p>
      <w:pPr>
        <w:pStyle w:val="Heading2"/>
      </w:pPr>
      <w:r>
        <w:t>Regeste</w:t>
      </w:r>
    </w:p>
    <w:p>
      <w:r>
        <w:t>Mehrere Jahre dauernde umfassende Restauration eines ausserkantonalen und seit Jahren leer stehenden, denkmalgeschützten Hauses aus dem 15. Jahrhundert für Baukosten total über 1 Mio. CHF. Das streitbetroffene Haus wurde erst kürzlich für Fr. 70'000.- gekauft. Die Vorinstanz verweigerte jegliche Abzugsfähigkeit der Baukosten zu Unrecht mit der vom Bundesgericht in BGE 149 II 27 unterdessen aufgegebenen Praxis zum wirtschaftlichen Neubau (d.h. Annahme eines vollständig wertvermehrenden Charakters der baulichen Aufwendungen). Rückweisung an das kantonale Steueramt zur eingehenden, periodenübergreifenden Untersuchung, in welchem genauen Umfang werterhaltende, denkmalpflegerische oder energiesparende/umweltschützende Unterhaltskosten vorliegen.</w:t>
      </w:r>
    </w:p>
    <w:p>
      <w:pPr>
        <w:pStyle w:val="Heading2"/>
      </w:pPr>
      <w:r>
        <w:t>Erwägungen</w:t>
      </w:r>
    </w:p>
    <w:p>
      <w:r>
        <w:rPr>
          <w:b/>
        </w:rPr>
        <w:t>E. 2</w:t>
      </w:r>
    </w:p>
    <w:p>
      <w:r>
        <w:t>ST.2023.29</w:t>
      </w:r>
    </w:p>
    <w:p>
      <w:r>
        <w:t>- 8 - einheitlich in den noch offenen Steuerjahren 2020 und 2021 zu beurteilen. Die jährliche Prüfung der abzugsfähigen Kosten erscheint nicht als zielführend. Für die zürcherische Veranlagung ist überdies auch die bündnerische Einschätzung für das Steuerjahr 2020 ohne Bedeutung. Der Kanton Zürich stellt das ihm zustehende Steuersubstrat nach sei- nem eigenen kantonalen Recht fest.</w:t>
      </w:r>
    </w:p>
    <w:p>
      <w:r>
        <w:rPr>
          <w:b/>
        </w:rPr>
        <w:t>E. 3</w:t>
      </w:r>
    </w:p>
    <w:p>
      <w:r>
        <w:t>a) Die vorstehenden Erwägungen führen zur teilweisen Gutheissung der Beschwerde und des Rekurses. Die Streitsache wird im Sinn der Erwägungen an den Beschwerde-/Rekursgegner ins Veranlagungs-/Einschätzungsverfahren zurückgewie- sen (Richner/Frei/Kaufmann/Rohner, § 149 N 36 StG). Eine Rückweisung mit – wie hier – offenem Prozessausgang gilt in Bezug auf die Kostenregelung als Obsiegen der rechtsmittelführenden Partei, wobei es keine Rolle spielt, ob die Rückweisung beantragt wurde (BGr, 28. April 2014, 2C_845/2013, E. 3; VGr, 22. April 2015, SB.2014.00131, E. 3). Daher sind die Kosten des Beschwerde-/Rekursverfahrens dem Beschwerde-/ Rekursgegner aufzuerlegen (Art. 144 Abs. 1 DBG bzw. § 151 Abs. 1 StG). Die Voraus- setzungen von Art. 144 Abs. 4 DBG i.V.m. Art. 64 Abs. 1 - 3 des Bundesgesetzes über das Verwaltungsverfahren vom 20. Dezember 1968 bzw. § 152 StG i.V.m. § 7 Abs. 2 des Verwaltungsrechtspflegegesetzes vom 24. Mai 1959 für die Zusprechung von Par- teientschädigungen im angemessenen Betrag von Fr. 2'000.- (Mehrwertsteuer inbegrif- fen) für das Beschwerdeverfahren und von Fr. 3'000.- (Mehrwertsteuer inbegriffen) für das Rekursverfahren an den obsiegenden Pflichtigen sind erfüllt. b)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des Verwaltungs- rechtspflegegesetzes vom 24. Mai 1959 i.V.m. Art. 93 Abs. 1 des Bundesgesetzes über das Bundesgericht vom 17. Juni 2005). 2 DB.2023.24 2 ST.2023.29</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