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DB.2023.22 vom 12. Januar 2024</w:t>
      </w:r>
    </w:p>
    <w:p>
      <w:r>
        <w:t>ZH Steuerrekursgericht, 2024-01-12, DE</w:t>
      </w:r>
    </w:p>
    <w:p>
      <w:r>
        <w:rPr>
          <w:b/>
        </w:rPr>
        <w:t xml:space="preserve">Quelle: </w:t>
      </w:r>
      <w:r>
        <w:t>https://mcp.opencaselaw.ch/entscheid/zh_steuerrekursgericht_DB.2023.22</w:t>
      </w:r>
    </w:p>
    <w:p>
      <w:r>
        <w:t>FR: ZH_STEUERREKURSGERICHT DB.2023.22 du 12 janvier 2024</w:t>
      </w:r>
    </w:p>
    <w:p>
      <w:r>
        <w:t>IT: ZH_STEUERREKURSGERICHT DB.2023.22 del 12 gennaio 2024</w:t>
      </w:r>
    </w:p>
    <w:p>
      <w:pPr>
        <w:pStyle w:val="Heading2"/>
      </w:pPr>
      <w:r>
        <w:t>Regeste</w:t>
      </w:r>
    </w:p>
    <w:p>
      <w:r>
        <w:t>Als Kinderunterhaltsbeiträge deklarierte Zahlungen auf ein gemeinsames Konto des zahlenden Elternteils und des empfangenden Elternteils stellen keine Unterhaltsbeiträge dar. Abweisung.</w:t>
      </w:r>
    </w:p>
    <w:p>
      <w:pPr>
        <w:pStyle w:val="Heading2"/>
      </w:pPr>
      <w:r>
        <w:t>Erwägungen</w:t>
      </w:r>
    </w:p>
    <w:p>
      <w:r>
        <w:rPr>
          <w:b/>
        </w:rPr>
        <w:t>E. 1</w:t>
      </w:r>
    </w:p>
    <w:p>
      <w:r>
        <w:t>ST.2023.27</w:t>
      </w:r>
    </w:p>
    <w:p>
      <w:r>
        <w:t>- 8 - Denn wie die Vorinstanz ausführt, ist gemäss den Unterhaltsverträgen kein Unterhalt geschuldet, wenn ein angemessener Beitrag an den gemeinsamen Haushalt geleistet würde. Da der Pflichtige das gemeinsame Konto zu rund 83% finanziert und eine Auftei- lung der Haushaltskosten zwischen ihm und der Kindsmutter nicht ersichtlich ist, er- scheint ein solcher angemessener Beitrag vorzuliegen, weshalb die streitbetroffenen Zahlungen auch aus diesem Grund (zumindest in der beantragten Höhe) als nicht ab- zugsfähig erscheinen. Davon abgesehen wäre zu berücksichtigen, dass die als Kinder- unterhalt bezeichneten Zahlungen auch für Lebenshaltungskosten des Pflichtigen und der Kindsmutter verwendet wurden (u.a. Wohnkosten), weshalb die geltend gemachten Kinderunterhaltskosten mindestens im Umfang von nicht abzugsfähigen Kosten zu kür- zen wären. Da jedoch gemäss den vorstehenden Erwägungen ohnehin keine Unterhalts- zahlungen geleistet wurden, erübrigt sich eine diesbezügliche Auseinandersetzung.</w:t>
      </w:r>
    </w:p>
    <w:p>
      <w:r>
        <w:rPr>
          <w:b/>
        </w:rPr>
        <w:t>E. 2</w:t>
      </w:r>
    </w:p>
    <w:p>
      <w:r>
        <w:t>Diese Erwägungen führen zur Abweisung der Rechtsmittel. Ausgangsge- mäss sind die Kosten des vorliegenden Verfahrens dem Beschwerdeführer/Rekurrenten aufzuerlegen (Art. 144 Abs. 1 DBG bzw.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