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DB.2022.86 vom 1. November 2022</w:t>
      </w:r>
    </w:p>
    <w:p>
      <w:r>
        <w:t>ZH Steuerrekursgericht, 2022-11-01, DE</w:t>
      </w:r>
    </w:p>
    <w:p>
      <w:r>
        <w:rPr>
          <w:b/>
        </w:rPr>
        <w:t xml:space="preserve">Quelle: </w:t>
      </w:r>
      <w:r>
        <w:t>https://mcp.opencaselaw.ch/entscheid/zh_steuerrekursgericht_DB.2022.86</w:t>
      </w:r>
    </w:p>
    <w:p>
      <w:r>
        <w:t>FR: ZH_STEUERREKURSGERICHT DB.2022.86 du 1 novembre 2022</w:t>
      </w:r>
    </w:p>
    <w:p>
      <w:r>
        <w:t>IT: ZH_STEUERREKURSGERICHT DB.2022.86 del 1 novembre 2022</w:t>
      </w:r>
    </w:p>
    <w:p>
      <w:pPr>
        <w:pStyle w:val="Heading2"/>
      </w:pPr>
      <w:r>
        <w:t>Regeste</w:t>
      </w:r>
    </w:p>
    <w:p>
      <w:r>
        <w:t>Der Pflichtige ist mit seiner Konkubinatspartnerin zu je 50% Miteigentümer einer selbstbewohnten Liegenschaft. Aufgrund seiner höheren wirtschaftlichen Leistungsfähigkeit habe er mit seiner Partnerin vereinbart, dass er mehr als die Hälfte der Unterhaltskosten und Schuldzinsen finanziere und macht in entsprechendem Umfang Abzüge geltend. Unterhaltskosten und Schuldzinsen qualifizieren als Gewinnungskosten. Diese können nur insoweit abgezogen werden, als ihnen zugehörige Einkünfte gegenüberstehen. Da der Pflichtige gestützt auf seinen 50% Miteigentumsanteil einkommensseitig nur den hälftigen Eigenmietwert versteuert, kann er auch nur 50% der für dieses Eigenheim angefallenen Unterhaltskosten und Schuldzinsen abziehen. Für die steuerliche Aufteilung von Unterhaltskosten ist des Weiteren grundsätzlich auf die sachenrechtliche Eigentümerstellung abzustellen und nicht auf obligationenrechtliche Vereinbarungen hinsichtlich einer davon abweichenden Kostentragungspflicht.</w:t>
      </w:r>
    </w:p>
    <w:p>
      <w:pPr>
        <w:pStyle w:val="Heading2"/>
      </w:pPr>
      <w:r>
        <w:t>Erwägungen</w:t>
      </w:r>
    </w:p>
    <w:p>
      <w:r>
        <w:rPr>
          <w:b/>
        </w:rPr>
        <w:t>E. 2</w:t>
      </w:r>
    </w:p>
    <w:p>
      <w:r>
        <w:t>ST.2022.113</w:t>
      </w:r>
    </w:p>
    <w:p>
      <w:r>
        <w:t>- 3 - B. Gegen die einkommensseitigen Korrekturen betreffend die Steuerperiode 2017 liess die Pflichtige am 29. November 2021 wiederum Einsprache erheben; die geringfügige vermögensseitige Korrektur blieb unangefochten. Wie im Vorjahr fällte das kantonale Steueramt daraufhin am 3. Mai 2022 einen abweisenden, die Korrektu- ren bestätigenden Einspracheentscheid. C. Gegen den Letzteren wandte sich die Pflichtige mit Eingabe vom</w:t>
      </w:r>
    </w:p>
    <w:p>
      <w:r>
        <w:rPr>
          <w:b/>
        </w:rPr>
        <w:t>E. 3</w:t>
      </w:r>
    </w:p>
    <w:p>
      <w:r>
        <w:t>a) In quantitativer Hinsicht ist zunächst unbestritten, dass für das Eigenheim des Pflichtigen und seiner Lebenspartnerin per 2017 steuerlich absetzbare Unterhalts- kosten von insgesamt Fr. 3'350.- angefallen sind (vgl. die diesbezüglich vom Pflichti- gen deklarierten Kosten samt Belegen, sowie insb. auch den Einspracheantrag). Auch bezüglich Hypothekarzinsen ist die quantitative Ausgangslage geklärt; insgesamt be- laufen sich diese für die streitbetroffene Liegenschaft pro 2017 auf Fr. 27'370.95, wo- von der Pflichtige Fr. 18'247.- (= 2/3) bezahlt und entsprechend deklariert hat. Erstellt ist weiter, dass der Pflichtige und seine Lebenspartnerin an der ge- meinsam bewohnten Liegenschaft je zur Hälfte beteiligt sind (50%-Miteigentum). Dem- entsprechend versteuert der Pflichtige denn auch den hälftigen Eigenmietwert und den hälftigen Vermögenssteuerwert dieser Liegenschaft (vgl. Mitteilung der steuerbaren Werte per 31.12.2009 [Weisung 2009]). Geklärt ist der Sachverhalt sodann auch mit Bezug auf die Fremdfinanzierung der Liegenschaft; es besteht per 31. Dezember 2017 eine Hypothek in der Höhe von Fr. 790'000.-, welche der Pflichtige und seine Partnerin gemeinsam und mit solidari- scher Haftung für die Zinsen abgeschlossen haben (vgl. Einsprache); unstreitig ist beim Pflichtigen damit vermögensseitig die halbe Schuld im Betrag von Fr. 395'000.- zu berücksichtigen. b) Im Streit liegt allein die Frage, ob der Pflichtige als 50%-Miteigentümer ein- kommensseitig berechtigt ist, steuermindernd mehr als 50% des insgesamt angefalle- nen Liegenschaftenunterhalt und der insgesamt bezahlten Hypothekarzinsen für sich zu beanspruchen. Von Letzterem geht der Pflichtige unter Verweis auf vertragliche Abmachungen sowie gelebte mündliche Vereinbarungen mit seiner Lebenspartnerin aus. Hintergrund der Vereinbarungen bildet dabei der Umstand, dass der Pflichtige im gelebten Konkubinatsverhältnis derjenige ist, welcher mehr Einkommen generiert, weil sich die Partnerin vorab um die Kindererziehung kümmert. 2 DB.2022.86 2 ST.2022.113</w:t>
      </w:r>
    </w:p>
    <w:p>
      <w:r>
        <w:t>- 6 - c) Gegen die Auffassung des Pflichtigen spricht bereits, dass sowohl die Un- terhaltskosten der streitbetroffenen Liegenschaft, wie auch die für diese bezahlten Hy- pothekarzinsen als sogenannte Gewinnungskosten qualifizieren (vgl. Richner/Frei/ Kaufmann/Meuter, Handkommentar zum DBG, 3. A., 2016, Art. 32 N 1 und Art. 33 N 7a DBG; Richner/Frei/Kaufmann/Rohner, Kommentar zum Zürcher Steuergesetz,</w:t>
      </w:r>
    </w:p>
    <w:p>
      <w:r>
        <w:rPr>
          <w:b/>
        </w:rPr>
        <w:t>E. 4</w:t>
      </w:r>
    </w:p>
    <w:p>
      <w:r>
        <w:t>Gestützt auf diese Erwägungen sind die Rechtsmittel abzuweisen. Aus- gangsgemäss sind die Kosten des Verfahrens dem Pflichtigen aufzuerlegen (Art. 144 Abs. 1 DBG und § 151 Abs. 1 StG) und ist diesem keine Parteientschädigung zuzu- sprechen (Art. 144 Abs. 4 DBG i.V.m. Art. 64 Abs. 1 - 3 des Bundesgesetzes über das Verwaltungsverfahren vom 20. Dezember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