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DB.2022.53 vom 25. Oktober 2022</w:t>
      </w:r>
    </w:p>
    <w:p>
      <w:r>
        <w:t>ZH Steuerrekursgericht, 2022-10-25, DE</w:t>
      </w:r>
    </w:p>
    <w:p>
      <w:r>
        <w:rPr>
          <w:b/>
        </w:rPr>
        <w:t xml:space="preserve">Quelle: </w:t>
      </w:r>
      <w:r>
        <w:t>https://mcp.opencaselaw.ch/entscheid/zh_steuerrekursgericht_DB.2022.53</w:t>
      </w:r>
    </w:p>
    <w:p>
      <w:r>
        <w:t>FR: ZH_STEUERREKURSGERICHT DB.2022.53 du 25 octobre 2022</w:t>
      </w:r>
    </w:p>
    <w:p>
      <w:r>
        <w:t>IT: ZH_STEUERREKURSGERICHT DB.2022.53 del 25 ottobre 2022</w:t>
      </w:r>
    </w:p>
    <w:p>
      <w:pPr>
        <w:pStyle w:val="Heading2"/>
      </w:pPr>
      <w:r>
        <w:t>Regeste</w:t>
      </w:r>
    </w:p>
    <w:p>
      <w:r>
        <w:t>Die Pflichtige lebt seit der Eheschliessung räumlich getrennt von ihrem in Deutschland lebenden Ehegatten. Sie macht zudem eine getrennte Mittelverwendung geltend, was vom kantonalen Steueramt nicht bestritten wird. Weil die Ehegatten jedoch den erklärten Willen haben, die eheliche Gemeinschaft aufrecht zu erhalten, gilt diese nicht als tatsächlich bzw. faktisch getrennt. Die Pflichtige hat demnach zwar nur ihr eigenes Einkommen und Vermögen zu versteuern, jedoch zum Satz der gemeinsamen Faktoren und zum Verheiratetentarif. Keine Besteuerung als Alleinstehende. Abweisung.</w:t>
      </w:r>
    </w:p>
    <w:p>
      <w:pPr>
        <w:pStyle w:val="Heading2"/>
      </w:pPr>
      <w:r>
        <w:t>Erwägungen</w:t>
      </w:r>
    </w:p>
    <w:p>
      <w:r>
        <w:rPr>
          <w:b/>
        </w:rPr>
        <w:t>E. 2</w:t>
      </w:r>
    </w:p>
    <w:p>
      <w:r>
        <w:t>ST.2022.68</w:t>
      </w:r>
    </w:p>
    <w:p>
      <w:r>
        <w:t>- 4 - Der Einzelrichter zieht in Erwägung: 1. a) Einkommen und Vermögen der Ehegatten, die in rechtlich und tatsäch- lich ungetrennter Ehe leben, werden laut Art. 9 Abs. 1 des Bundesgesetzes über die direkte Bundessteuer vom 14. Dezember 1990 (DBG) bzw. § 7 Abs. 1 des Steuerge- setzes vom 8. Juni 1997 (StG) ohne Rücksicht auf den Güterstand zusammengerech- net. b) aa) Die Faktorenaddition findet ihre Rechtfertigung darin, dass die Ehe bzw. Familie nicht nur eine sittliche und rechtliche, sondern auch eine wirtschaftliche Einheit darstellt (BGr, 7. April 1998 = Pra 87 Nr. 101). Weil die Ehegatten bzw. die Familien- mitglieder die vorhandenen finanziellen Mittel gemeinsam verwenden, ist für die Be- messung der Leistungsfähigkeit der wirtschaftlichen Einheit Ehe/Familie die Gesamt- heit der Einkünfte dieser Einheit heranzuziehen (Peter Locher, Kommentar zum DBG, I. Teil, 2. A., 2019, Art. 9 N 4 mit Hinweisen). Die Leistungsfähigkeit des Einzelnen in- nerhalb der wirtschaftlichen Einheit kann nicht losgelöst von derjenigen der Gemein- schaft betrachtet werden. Dies gilt auch dann, wenn zwischen den Ehegatten Güter- trennung besteht. Auch wenn unter diesem Güterstand jeder Ehegatte sein Vermögen selbst verwaltet und darüber verfügt (Art. 247 ZGB), sind die Ehegatten dennoch ge- genseitig verpflichtet, das Wohl der Gemeinschaft zu wahren und z.B. für die Kinder gemeinsam zu sorgen (Art. 159 Abs. 2 ZGB). Auch bei Gütertrennung wird daher die wirtschaftliche Einheit der Ehe bzw. Familie nicht vollständig aufgehoben. Dies ist erst bei einer rechtlichen oder tatsächlichen Trennung der Fall (Richner/Frei/Kaufmann/ Meuter, Handkommentar zum DBG, 3. A., 2016, Art. 9 N 5 DBG und Richner/Frei/ Kaufmann/Rohner, Kommentar zum Zürcher Steuergesetz, 4. A., 2021, § 7 N 5 StG). bb) Für das Bundesgericht beruht die Familien-/Ehegattenbesteuerung nicht bloss auf wirtschaftlichen Gesichtspunkten, sondern auf persönlichen Umständen, namentlich auf dem Willen beider Ehepartner zur Fortführung ihrer Gemeinschaft (BGr,</w:t>
      </w:r>
    </w:p>
    <w:p>
      <w:r>
        <w:rPr>
          <w:b/>
        </w:rPr>
        <w:t>E. 5</w:t>
      </w:r>
    </w:p>
    <w:p>
      <w:r>
        <w:t>Im Quantitativen ist die Veranlagung/Einschätzung der Pflichtigen sowohl hinsichtlich der steuerbaren als auch der satzbestimmenden Faktoren nicht streitig. Mithin erweist sich der angefochtene Einspracheentscheid vollumfänglich als rechtsbe- ständig.</w:t>
      </w:r>
    </w:p>
    <w:p>
      <w:r>
        <w:rPr>
          <w:b/>
        </w:rPr>
        <w:t>E. 6</w:t>
      </w:r>
    </w:p>
    <w:p>
      <w:r>
        <w:t>Diese Erwägungen führen zur Abweisung der Rechtsmittel, soweit darauf einzutreten ist. Ausgangsgemäss sind die Kosten des Verfahrens der Pflichtigen auf- zuerlegen (Art. 144 Abs. 1 DBG, § 151 Abs. 1 StG) und entfällt die Zusprechung von Parteientschädigungen (Art. 144 Abs. 4 DBG i.V.m. Art. 64 Abs. 1 des Bundesgesetzes über das Verwaltungsverfahren vom 20. Dezember 1968;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