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DB.2021.15 vom 24. Mai 2022</w:t>
      </w:r>
    </w:p>
    <w:p>
      <w:r>
        <w:t>ZH Steuerrekursgericht, 2022-05-24, DE</w:t>
      </w:r>
    </w:p>
    <w:p>
      <w:r>
        <w:rPr>
          <w:b/>
        </w:rPr>
        <w:t xml:space="preserve">Quelle: </w:t>
      </w:r>
      <w:r>
        <w:t>https://mcp.opencaselaw.ch/entscheid/zh_steuerrekursgericht_DB.2021.15</w:t>
      </w:r>
    </w:p>
    <w:p>
      <w:r>
        <w:t>FR: ZH_STEUERREKURSGERICHT DB.2021.15 du 24 mai 2022</w:t>
      </w:r>
    </w:p>
    <w:p>
      <w:r>
        <w:t>IT: ZH_STEUERREKURSGERICHT DB.2021.15 del 24 maggio 2022</w:t>
      </w:r>
    </w:p>
    <w:p>
      <w:pPr>
        <w:pStyle w:val="Heading2"/>
      </w:pPr>
      <w:r>
        <w:t>Regeste</w:t>
      </w:r>
    </w:p>
    <w:p>
      <w:r>
        <w:t>Die Fremdfinanzierungsquote spricht für einen gewerbsmässigen Liegenschaftenhandel. Das Fachwissen und die berufliche Nähe sind mindestens teilweise vorhanden, aber letztlich zu verneinen. Auf eine private Vermögensanlage deuten die Häufigkeit der Liegenschaftengeschäfte und die Haltedauer hin. Es liegt weder eine Arbeitsbeschaffung noch eine Reinvestition vor. Die gegründete einfache Gesellschaft unterscheidet sich eindeutig von einem Baukonsortium, welches einen Neubau erstellt oder erstellen lässt und anschliessend einzelne Stockwerkeinheiten möglichst schnell, gewinnbringen weiterveräussert. Die vereinbarte Ausstiegsklausel ist einseitig. Sie benachteiligt in Zeiten von stark steigenden Immobilienpreisen den aussteigenden Gesellschafter. Für die Berechnung der Abgeltung wird nur der Ankaufspreis mit der Entwicklung des Zürcher Wohnbauindex hochgerechnet und zudem werden die wertvermehrenden Investitionen hinzugerechnet. Eine darüberhinausgehende Wertsteigerung – z.B. aufgrund einer höheren Nachfrage – wird nicht berücksichtigt. Die vereinbarte Ausstiegsklausel und die Tatsache, dass die Gesellschafter vor dem Kauf nicht vereinbarten – wie sie im Fall von Renovationen oder Leerständen – vorgehen werden, bringt das Gegenteil einer systematischen oder planmässigen Vorgehensweise zu Tage. Das strittige Objekt eignet sich kaum für einen gewerbsmässigen Liegenschaftenhandel. Historische Liegenschaften sind oft mit erheblichem finanziellem Aufwand verbunden und lassen kaum Veränderungen zu. Es handelt sich daher häufig um eine konservative Anlage.</w:t>
      </w:r>
    </w:p>
    <w:p>
      <w:pPr>
        <w:pStyle w:val="Heading2"/>
      </w:pPr>
      <w:r>
        <w:t>Erwägungen</w:t>
      </w:r>
    </w:p>
    <w:p>
      <w:r>
        <w:rPr>
          <w:b/>
        </w:rPr>
        <w:t>E. 2</w:t>
      </w:r>
    </w:p>
    <w:p>
      <w:r>
        <w:t>DB.2021.15</w:t>
      </w:r>
    </w:p>
    <w:p>
      <w:r>
        <w:t>- 17 - Für eine abschliessende Beurteilung ist jedoch zwingend eine Gesamtbe- trachtung vorzunehmen. Das kantonale Steueramt beurteilte die gegründete Perso- nengesellschaft – bestehend aus dem Pflichtigen und C – als gewichtiges Indiz für das Vorliegen eines gewerbsmässigen Liegenschaftenhandels. Diese Betrachtungsweise ist abzulehnen. Die vorliegende einfache Gesellschaft unterscheidet sich eindeutig von einem Baukonsortium, welches einen Neubau erstellt oder erstellen lässt und an- schliessend einzelne Stockwerkeinheiten möglichst schnell und gewinnbringend wei- terveräussert. Es ist in casu keine systematische oder planmässige Vorgehensweise erkennbar. Ein gewerbsmässiger Liegenschaftenhändler erwirbt eine Liegenschaft mit der Absicht, diese möglichst zeitnah mit Gewinn weiterzuverkaufen. Der Gesellschafts- vertrag zwischen dem Pflichtigen und C belegt höchstens das Gegenteil. Die verein- barte Ausstiegsklausel ist einseitig. Sie benachteiligt in Zeiten von stark steigenden Immobilienpreisen den aussteigenden Gesellschafter. Die Abgeltung wird berechnet, indem nur der Ankaufspreis mit der Entwicklung des Zürcher Wohnbauindex hochge- rechnet und die wertvermehrenden Investitionen hinzugerechnet werden. Eine darüber hinausgehende Wertsteigerung – z.B. aufgrund einer höheren Nachfrage – wird nicht berücksichtigt. Es ist keineswegs erstaunlich, dass im Rahmen der Auflösung der ein- fachen Gesellschaft die vereinbarte Ausstiegsklausel nicht zur Anwendung kam. Wie üblich wurde die Liegenschaft von einer Drittperson geschätzt und die Abgeltung für den austretenden Gesellschafter anschliessend anhand des geschätzten Verkehrs- werts ermittelt. Die vereinbarte Ausstiegsklausel und die Tatsache, dass der Pflichtige und C vor dem Kauf nicht vereinbarten, wie sie im Fall von Renovationen oder Leer- ständen vorgehen würden, widerspricht einer systematischen oder planmässigen Vor- gehensweise. Mit Blick auf das Erwerbseinkommen des Pflichtigen verfolgte dieser offen- sichtlich das Ziel, seinen Lebensunterhalt (mindestens teilweise) durch Mieteinahmen aus der …strasse 12 zu finanzieren. Die Absichten von C bleiben hingegen im Dun- keln. Sein Plan, die Hauswartung zu übernehmen, lässt noch nicht auf einen ge- werbsmässigen Liegenschaftenhandel schliessen. Eine über die private Vermögensan- lage hinausgehende Intention von C wurde nicht nachgewiesen. Der Kauf der …strasse 12 diente dem Pflichtigen und C somit als private Vermögensanlage.</w:t>
      </w:r>
    </w:p>
    <w:p>
      <w:r>
        <w:rPr>
          <w:b/>
        </w:rPr>
        <w:t>E. 3</w:t>
      </w:r>
    </w:p>
    <w:p>
      <w:r>
        <w:t>a) Diese Erwägungen führen zur Gutheissung der Beschwerde. 2 DB.2021.15</w:t>
      </w:r>
    </w:p>
    <w:p>
      <w:r>
        <w:t>- 18 - b) Bei diesem Verfahrensausgang sind die Gerichtskosten der Beschwerde- gegnerin aufzuerlegen (Art. 144 Abs. 1 DBG). Ferner ist dem Pflichtigen für das Be- schwerdeverfahren eine angemessene Parteientschädigung zuzusprechen (Art. 144 Abs. 4 DBG i.V.m. Art. 64 Abs. 1-3 des Bundesgesetzes über das Verwaltungsverfah- ren vom 20. Dezember 1968). In seiner Replik beantragte der Beschwerdeführer zu- dem, dass ihm eine Entschädigung für die Vertretungskosten im Veranlagungsverfah- ren zu entrichten sei. Ein bundesrechtlicher Anspruch auf Parteientschädigung besteht jedoch nur, wenn dieser im Gesetz ausdrücklich vorgesehen ist. Weder die Verfassung (Art. 29 BV) noch Art. 123 Abs. 2 DBG geben der obsiegenden Partei einen solchen Anspruch (Zweifel/Beusch, in: Kommentar zum Schweizerischen Steuerrecht, Bundes- gesetz über die direkte Bundessteuer, 3. A., 2017, Art. 123 N 25 i.V.m. Art. 135 N 28 DBG). Dem obsiegenden Pflichtigen ist entsprechend keine Entschädigung für die Ver- tretungskosten im Veranlagungsverfahren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