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DB.2020.18 vom 3. Juli 2020</w:t>
      </w:r>
    </w:p>
    <w:p>
      <w:r>
        <w:t>ZH Steuerrekursgericht, 2020-07-03, DE</w:t>
      </w:r>
    </w:p>
    <w:p>
      <w:r>
        <w:rPr>
          <w:b/>
        </w:rPr>
        <w:t xml:space="preserve">Quelle: </w:t>
      </w:r>
      <w:r>
        <w:t>https://mcp.opencaselaw.ch/entscheid/zh_steuerrekursgericht_DB.2020.18</w:t>
      </w:r>
    </w:p>
    <w:p>
      <w:r>
        <w:t>FR: ZH_STEUERREKURSGERICHT DB.2020.18 du 3 juillet 2020</w:t>
      </w:r>
    </w:p>
    <w:p>
      <w:r>
        <w:t>IT: ZH_STEUERREKURSGERICHT DB.2020.18 del 3 luglio 2020</w:t>
      </w:r>
    </w:p>
    <w:p>
      <w:pPr>
        <w:pStyle w:val="Heading2"/>
      </w:pPr>
      <w:r>
        <w:t>Regeste</w:t>
      </w:r>
    </w:p>
    <w:p>
      <w:r>
        <w:t>Separat steuerbarer Liquidationsgewinn/fiktiver Einkauf in Vorsorge. - Bei den stillen Reseren, welche die Pflichtigen bei Aufgabe ihres Landwirtschaftbetriebs in den beiden letzten Geschäftsjahren realisierten, war der Wert eines Wohnrechts streitig. Letzteres liessen sie sich bei der Abtretung der landwirtschaftlich genutzten Liegenschaft an ihre Tochter einräumen. Bei der Bewertung des Wohnrechts zeigt sich, dass entgegen der Auffassung der Pflichtigen, von der erzielbaren Marktmiete (ohne Eigenmietwerteinschlag) auszugehen ist, derweil beim Kapitalisierungsfaktor entgegen der Auffassung des Steueramts die Aktivitätstafeln (nicht die Mortalitätstafeln) massgeblich sind, weil das fragliche Wohnrecht auf die Aktivität (nicht auf das Leben) ausgerichtet ist. Teilweise Gutheissung.</w:t>
      </w:r>
    </w:p>
    <w:p>
      <w:pPr>
        <w:pStyle w:val="Heading2"/>
      </w:pPr>
      <w:r>
        <w:t>Erwägungen</w:t>
      </w:r>
    </w:p>
    <w:p>
      <w:r>
        <w:rPr>
          <w:b/>
        </w:rPr>
        <w:t>E. 1</w:t>
      </w:r>
    </w:p>
    <w:p>
      <w:r>
        <w:t>ST.2020.25 Entscheid</w:t>
      </w:r>
    </w:p>
    <w:p>
      <w:r>
        <w:rPr>
          <w:b/>
        </w:rPr>
        <w:t>E. 3</w:t>
      </w:r>
    </w:p>
    <w:p>
      <w:r>
        <w:t>a) Nach alledem ist der in der Steuerperiode 2017 separat steuerbare Li- quidationsgewinn bzw. der an dessen Stelle tretende steuerbare fiktive Einkauf in die Vorsorge auf den Betrag von Fr. 226'568.- zu reduzieren. Die ordentlichen Steuerfakto- ren dieser Steuerperiode sind unbestritten und zu bestätigten. b) Die Beschwerde und der Rekurs sind somit teilweise gutzuheissen. c) Ausgangsgemäss sind die Verfahrenskosten den Parteien anteilig aufzuer- legen (Art. 144 Abs. 1 DBG; § 151 Abs. 1 StG). Den mehrheitlich unterliegenden Pflich- tigen ist sodann keine Parteientschädigung zuzusprechen (Art. 144 Abs. 4 DBG i.V.m. Art. 64 Abs. 1-3 des Bundesgesetzes über das Verwaltungsverfahren vom 20. Dezem- ber 1968 sowie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