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DB.2019.38 vom 5. September 2018</w:t>
      </w:r>
    </w:p>
    <w:p>
      <w:r>
        <w:t>ZH Steuerrekursgericht, 2018-09-05, DE</w:t>
      </w:r>
    </w:p>
    <w:p>
      <w:r>
        <w:rPr>
          <w:b/>
        </w:rPr>
        <w:t xml:space="preserve">Quelle: </w:t>
      </w:r>
      <w:r>
        <w:t>https://mcp.opencaselaw.ch/entscheid/zh_steuerrekursgericht_DB.2019.38</w:t>
      </w:r>
    </w:p>
    <w:p>
      <w:r>
        <w:t>FR: ZH_STEUERREKURSGERICHT DB.2019.38 du 5 septembre 2018</w:t>
      </w:r>
    </w:p>
    <w:p>
      <w:r>
        <w:t>IT: ZH_STEUERREKURSGERICHT DB.2019.38 del 5 settembre 2018</w:t>
      </w:r>
    </w:p>
    <w:p>
      <w:pPr>
        <w:pStyle w:val="Heading2"/>
      </w:pPr>
      <w:r>
        <w:t>Regeste</w:t>
      </w:r>
    </w:p>
    <w:p>
      <w:r>
        <w:t>Rückzahlung von (wie nachträglich feststand) 2013 zu Unrecht vom Ex-Mann bezogenen Unterhaltsbeträgen in der zu beurteilenden Steuerperiode 2016. Die Rückzahlungen qualifizieren nicht als Unterhaltsbeiträge. Allenfalls hätte die Rückzahlungsverpflichtung aufgrund der konkreten Umstände bereits im Veranlagungs-/Einschätzungs- oder diesbezüglichen Rechtsmittelverfahren betreffend die Steuerperiode 2013 oder aber später in einem Revisionsverfahren betreffend die Steuerperiode 2013 geltend gemacht werden können. Abweisung.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ST.2019.56</w:t>
      </w:r>
    </w:p>
    <w:p>
      <w:r>
        <w:t>- 4 - zes vom 8. Juni 1997 (StG) werden von den steuerbaren Einkünften die Unterhaltsbei- träge an den geschiedenen, gerichtlich oder tatsächlich getrennt lebenden Ehegatten abgezogen. Unterhaltsbeiträge sind wiederkehrende Unterstützungen und Unterhalts- leistungen zur Deckung des laufenden Lebensbedarfs, die dem Empfänger keinen Vermögenszuwachs verschaffen (Richner/Frei/Kaufmann/Meuter, Handkommentar zum DBG, 3. A., 2016, Art. 33 N 48 DBG, und Kommentar zum Zürcher Steuergesetz,</w:t>
      </w:r>
    </w:p>
    <w:p>
      <w:r>
        <w:rPr>
          <w:b/>
        </w:rPr>
        <w:t>E. 3</w:t>
      </w:r>
    </w:p>
    <w:p>
      <w:r>
        <w:t>Diese Erwägungen führen zur Abweisung von Beschwerde und Rekurs. Ausgangsgemäss sind die Kosten des vorliegenden Verfahrens der Beschwerdeführe- rin/Rekurrentin aufzuerlegen (Art. 144 Abs. 1 DBG; § 151 Abs. 1 StG) und entfällt die Zusprechung einer Parteientschädigung (Art. 144 Abs. 4 DBG i.V.m. Art. 64 Abs. 1 - 3 des Bundesgesetzes über das Verwaltungsverfahren vom 20. Dezember 1968 sowie § 152 StG i.V.m. § 17 Abs. 2 des Verwaltungsrechtspflegegesetzes vom 24. Mai 1959/6. September 1997).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