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DB.2019.100 vom 3. Dezember 2019</w:t>
      </w:r>
    </w:p>
    <w:p>
      <w:r>
        <w:t>ZH Steuerrekursgericht, 2019-12-03, DE</w:t>
      </w:r>
    </w:p>
    <w:p>
      <w:r>
        <w:rPr>
          <w:b/>
        </w:rPr>
        <w:t xml:space="preserve">Quelle: </w:t>
      </w:r>
      <w:r>
        <w:t>https://mcp.opencaselaw.ch/entscheid/zh_steuerrekursgericht_DB.2019.100</w:t>
      </w:r>
    </w:p>
    <w:p>
      <w:r>
        <w:t>FR: ZH_STEUERREKURSGERICHT DB.2019.100 du 3 décembre 2019</w:t>
      </w:r>
    </w:p>
    <w:p>
      <w:r>
        <w:t>IT: ZH_STEUERREKURSGERICHT DB.2019.100 del 3 dicembre 2019</w:t>
      </w:r>
    </w:p>
    <w:p>
      <w:pPr>
        <w:pStyle w:val="Heading2"/>
      </w:pPr>
      <w:r>
        <w:t>Regeste</w:t>
      </w:r>
    </w:p>
    <w:p>
      <w:r>
        <w:t>Die im Baubereich spezialisierte Pflichtige hat zahlreiche Barzahlungen für (angebliche) Gipserarbeiten durch eine Drittfirmaverbucht. Die Drittfirma, an welche die Zahlungen flossen wurde etwas über ein Jahr nach der im Streit liegenden Steuerperiode nach einem Konkursverfahren aus dem Handelsregister gelöscht. Aus den als Beleg dienenden Quittungen geht nicht substanziert hervor, welche konkreten Arbeiten ausgeführt wurden. Die Pflichtige war trotz Auflage und Mahnung nicht in der Lage, Verträge und Arbeitsrapporte einzureichen und die Arbeiten in substanzierter Weise zu beschreiben. Der entsprechende Aufwand ist zu Recht aufgerechntet worden, weil die beweisbelastete Pflichtige die geschäftsmässige Begründung der Aufträge nicht nachgewiesen hat. Abweisung.</w:t>
      </w:r>
    </w:p>
    <w:p>
      <w:pPr>
        <w:pStyle w:val="Heading2"/>
      </w:pPr>
      <w:r>
        <w:t>Erwägungen</w:t>
      </w:r>
    </w:p>
    <w:p>
      <w:r>
        <w:rPr>
          <w:b/>
        </w:rPr>
        <w:t>E. 17</w:t>
      </w:r>
    </w:p>
    <w:p>
      <w:r>
        <w:t>November 2010, SB.2010.00080 = STE 2011 B 93.5 Nr. 25). 2. a) Entgegen der Ansicht der Pflichtigen erfüllen die 41 eingereichten Rech- nungen der D GmbH die strengen obligationenrechtlichen Voraussetzungen, welche Buchhaltungsbelege erfüllen müssen, nicht. Die Pflichtige war in der Wahl der Belege keineswegs frei. Wie oben dargelegt, sind diejenigen Unterlagen als Belege in die Buchhaltung aufzunehmen, welche allermindestens neben der Rechnungssumme, dem bezahlten Betrag und den Vertragsparteien eine genügende Umschreibung der bezogenen Dienstleistung enthalten. Die tatsächlich verbuchten Rechnungen geben keinen Aufschluss darüber, an welchen Objekten und in welchem Umfang Gipserarbei- ten durchgeführt wurden. Weiter fehlen die genaue Bezeichnung der jeweils in Frage stehenden Liegenschaft sowie Angaben über Arbeitsstunden, die Anzahl der einge- setzten Arbeiter und die Art der Arbeiten. Üblicherweise enthalten die durch den Auf- tragnehmer angefertigten Arbeitsrapporte diese Informationen. Auf über der Hälfte der Rechnungen wird unter Nennung der jeweiligen Nummer auf Rapporte verwiesen, die indessen trotz ausdrücklicher Aufforderung des kantonalen Steueramts vom 18. Januar 2019 und Mahnung vom 6. März 2019 nicht eingereicht wurden. Sollte die D GmbH betreffend die übrigen Rechnungen, die keinen Verweis auf einen Rapport enthalten, von sich aus keine (schriftliche) Rechenschaft über die von ihr geleisteten Arbeiten ab- gelegt haben, wäre es an der Pflichtigen gelegen, entsprechende Aufzeichnungen so- fort, d.h. vor Zahlung des Rechnungsbetrags, erhältlich zu machen. Weiter hätte die Pflichtige angesichts des in Frage stehenden Auftragsvolumens und der in der Bau- branche immer latent vorhandenen Haftungsansprüche aus Vorsichtsgründen auf je- den Fall vor Arbeitsbeginn auf dem Abschluss von beidseitig unterzeichneten Werkver- trägen beharren müssen, welche ebenfalls als Belege zu den Geschäftsbüchern hätten 2 DB.2019.100 2 ST.2019.130</w:t>
      </w:r>
    </w:p>
    <w:p>
      <w:r>
        <w:t>- 9 - genommen werden müssen. Auch auf diesen Umstand wies das kantonale Steueramt mit Auflage und Mahnung ausdrücklich hin. b) Fehlende Buchungsbelege führen dazu, dass der entsprechende Aufwand – bereits aus handelsrechtlicher Sicht – nicht anerkannt wird. Die Vorinstanz hat die durch die D GmbH in bar vereinnahmten Beträge deshalb zu Recht in vollem Umfang nicht zum Abzug zugelassen, was zur Abweisung von Beschwerde und Rekurs führt. Weil das Steuerrecht wie weiter oben erläutert (in einem ersten Schritt) mit dem Mass- geblichkeitsprinzip auf der (zivilrechtlich einwandfreien) Handelsbilanz aufbaut, erübri- gen sich Ausführungen zur steuerrechtlich normierten geschäftsmässigen Begründet- heit des verbuchten Aufwands. Der Hinweis darauf, dass der einzige Inhaber und Geschäftsführer der D GmbH, P, nach der konkursamtlichen Löschung seiner Firma am ... 2018 ins Ausland abgereist ist, hilft der Pflichtigen nicht weiter. Die Buchhaltungsbelege (Verträge, Rapporte, Quittungen, Rechnungen) hätten wie oben ausgeführt von ihr selber sorgfäl- tig archiviert und aufbewahrt werden müssen (Art. 5 GeBüV). Keineswegs hat sie sich darauf verlassen dürfen, dass die Unterlagen jederzeit beim Auftragnehmer erhältlich sein würden. 3. Bei diesem Ausgang des Verfahrens sind die Kosten der Pflichtigen aufzu- 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