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DB.2018.77 vom 1. September 2006</w:t>
      </w:r>
    </w:p>
    <w:p>
      <w:r>
        <w:t>ZH Steuerrekursgericht, 2006-09-01, DE</w:t>
      </w:r>
    </w:p>
    <w:p>
      <w:r>
        <w:rPr>
          <w:b/>
        </w:rPr>
        <w:t xml:space="preserve">Quelle: </w:t>
      </w:r>
      <w:r>
        <w:t>https://mcp.opencaselaw.ch/entscheid/zh_steuerrekursgericht_DB.2018.77</w:t>
      </w:r>
    </w:p>
    <w:p>
      <w:r>
        <w:t>FR: ZH_STEUERREKURSGERICHT DB.2018.77 du 1 septembre 2006</w:t>
      </w:r>
    </w:p>
    <w:p>
      <w:r>
        <w:t>IT: ZH_STEUERREKURSGERICHT DB.2018.77 del 1 settembre 2006</w:t>
      </w:r>
    </w:p>
    <w:p>
      <w:pPr>
        <w:pStyle w:val="Heading2"/>
      </w:pPr>
      <w:r>
        <w:t>Regeste</w:t>
      </w:r>
    </w:p>
    <w:p>
      <w:r>
        <w:t>Der Konkubinatspartner als hälftiger Miteigentümer kann den Unterhaltsabzug auch dann nur im Umfang seiner Eigentumsquote geltend machen, wenn er diese Kosten vollumfänglich trägt (E. 2). Ebenso wird der Kinder- und der Versicherungsprämienabzug auch dann hälftig aufgeteilt, wenn der gut verdienende Partner für den Kindesunterhalt allein aufkommt (E. 3).</w:t>
      </w:r>
    </w:p>
    <w:p>
      <w:pPr>
        <w:pStyle w:val="Heading2"/>
      </w:pPr>
      <w:r>
        <w:t>Erwägungen</w:t>
      </w:r>
    </w:p>
    <w:p>
      <w:r>
        <w:rPr>
          <w:b/>
        </w:rPr>
        <w:t>E. 2</w:t>
      </w:r>
    </w:p>
    <w:p>
      <w:r>
        <w:t>ST.2018.93</w:t>
      </w:r>
    </w:p>
    <w:p>
      <w:r>
        <w:t>- 4 - genschaft trage. Weil seine Partnerin B nur ein geringes Einkommen erziele, sei es ihr nicht möglich, diese Kosten mitzutragen. Beim Erwerb der Liegenschaft habe die dar- lehensgebende Bank darauf bestanden, dass hälftiges Miteigentum vereinbart worden sei. Unter diesen Umständen stehe ihm der gesamte Unterhaltsabzug zu (R-act. 2). c) Laut Art. 649 Abs. 1 ZGB tragen die Miteigentümer vorbehaltlich einer ab- weichenden vertraglichen Regelung Verwaltungskosten, Steuern und andere Lasten, die aus dem Miteigentum erwachsen oder auf der gemeinschaftlichen Sache ruhen, im Verhältnis ihrer Anteile. Die gleiche Ordnung mit quotaler Aufteilung gilt nach Art. 712h ZGB auch beim Stockwerkeigentum. Die Besteuerung des Mietertrags einer Liegen- schaft im Miteigentum erfolgt ebenfalls bei jedem Miteigentümer nach Massgabe sei- nes Anteils am Gesamtgrundstück (BGr, 26. Juni 2002, StR 2002, 564). Das Entspre- chende muss für die mit dem Eigentum am Grundstück zusammenhängenden Aufwendungen für Unterhalt und Schuldzinsen gelten. Dementsprechend hat die (frühere) Steuerrekurskommission III mit Entscheid vom 12. Januar 2006 (ST.2005.215 + DB.2005.108) den Liegenschaftenunterhalt eines Stockwerkeigentümers nur im Um- fang seiner Wertquote anerkannt. Wie das Steuerrekursgericht im Entscheid vom</w:t>
      </w:r>
    </w:p>
    <w:p>
      <w:r>
        <w:rPr>
          <w:b/>
        </w:rPr>
        <w:t>E. 7</w:t>
      </w:r>
    </w:p>
    <w:p>
      <w:r>
        <w:t>April 2011 (DB.2010.257 + ST.2010.354) erkannt hat, ist die auf einer persönlichen Beziehung beruhende, von den zivilrechtlichen Grundsätzen abweichende Tragung des Unterhalts unbeachtlich (ebenso StRG, 17. Mai 2011, DB.2011.55 + ST.2011.85). d) Nach dem Gesagten hat das kantonale Steueramt dem Pflichtigen zu Recht nur den hälftigen Unterhaltsabzug gewährt; die andere Hälfte steht der Miteigentümerin B zu. Auf die Korrektur des in den Einspracheentscheiden enthaltenen Rechenfehlers (50% von Fr. 7'418.- = Fr. 3'709.- statt Fr. 3'758.-) kann wegen Geringfügigkeit verzich- tet werden. 3. a) Gemäss Art. 35 Abs. 1 lit. a DBG kann vom Einkommen ein Abzug von Fr. 6'500.- gemacht werden für jedes minderjährige oder in der beruflichen oder schuli- schen Ausbildung stehende Kind, für dessen Unterhalt der Steuerpflichtige sorgt. Laut Art. 35 Abs. 2 DBG wird dieser Abzug nach den Verhältnissen am Ende der Steuerpe- riode festgesetzt. Dem Steuerpflichtigen, der einen Kinderabzug geltend machen kann, steht zusätzlich ein Versicherungsprämienabzug bzw. Abzug für Zinsen von Sparkapi- 2 DB.2018.77 2 ST.2018.93</w:t>
      </w:r>
    </w:p>
    <w:p>
      <w:r>
        <w:t>- 5 - talien von Fr. 700.- zu (Art. 33 Abs. 1bis lit. b DBG; Richner/Frei/Kaufmann/Meuter, Art. 33 N 131 DBG). Bei den Staats- und Gemeindesteuern können gemäss § 34 Abs. 1 lit. a StG für minderjährige Kinder unter elterlicher Sorge oder Obhut des Steuerpflichtigen je Fr. 9'000.- vom Reineinkommen abgezogen werden. Bei nicht gemeinsam besteuerten Eltern wird der Kinderabzug hälftig aufgeteilt, wenn das Kind unter gemeinsamer elter- licher Sorge steht und keine Unterhaltsbeiträge nach § 31 Abs. 1 lit. c StG für das Kind geltend gemacht werden. Laut § 31 Abs. 1 lit. g StG erhöht sich der Versicherungs- prämienabzug um Fr. 1'300.- für jedes Kind oder jede unterstützungsbedürftige Per- son, für die der Steuerpflichtige einen Abzug gemäss § 34 Abs. 1 StG beanspruchen kann. Wird bei nicht gemeinsam besteuerten Eltern der Kinderabzug gemäss § 34 Abs. 1 lit. a StG hälftig aufgeteilt, gilt dies auch für die Erhöhung der Abzüge für jedes Kind um Fr. 1'300.-. b) In den Einspracheentscheiden hat das kantonale Steueramt die hälftige Aufteilung des Kinder- und Versicherungsprämienabzugs unter Hinweis auf die ge- nannten Gesetzesbestimmungen sowie sein Merkblatt vom 28. Mai 2015 über die Ge- währung von Sozialabzügen und die Anwendung der Steuertarife bei Familien (ab Steuerperiode 2015; ZStB Nr. 34.2, alt Nr. 20/013 [abrufbar unter: www.steueramt.zh.ch]) verteidigt. Wie das Merkblatt festhalte (S. 8, Rz. 3), könne ein Elternteil dann im Einverständnis des anderen den gesamten Abzug gelten machen, wenn nur er ein Einkommen erziele. Dies gelte nach der Praxis der Amtsstelle auch dann, wenn der andere nur ein "minimalstes" Brutto-Einkommen erziele. Weil die Kindsmutter über ein Erwerbseinkommen verfüge, seien die Voraussetzungen für eine vom Gesetz abweichende Zuweisung des Kinder- und des Versicherungsprämienab- zugs an den Vater hier nicht erfüllt (R-act. 4 und 5). Dem hält der Pflichtige in Be- schwerde und Rekurs entgegen, dass es ihm in der Steuerperiode 2015 erstmals mög- lich sei, den gesamten Abzug geltend zu machen, obwohl er schon in den Vorjahren für den Unterhalt der Tochter aufgekommen sei. Es sei unverständlich, dass das kan- tonale Steueramt ihm diese "Abzugschance" entgegen der Absicht des Gesetzgebers, Familien zu unterstützen, verbaue (R-act. 2). c) aa) Sozialabzüge und Sozialtarife bezwecken die – schematische – Anpas- sung der Steuerlast an die besondere persönlich-wirtschaftliche Situation von Gruppen 2 DB.2018.77 2 ST.2018.93</w:t>
      </w:r>
    </w:p>
    <w:p>
      <w:r>
        <w:t>- 6 - von Steuerpflichtigen. In diesem Bereich muss die gesetzliche Regelung aufgrund der Vielzahl der zu berücksichtigenden individuellen Verhältnisse notwendigerweise sche- matisch sein, was aber – wie das Bundesgericht wiederholt erkannt hat – nicht gegen Art. 127 der Bundesverfassung vom 18. April 1999 (BV) bzw. den darin enthaltenen Grundsatz der Besteuerung nach der wirtschaftlichen Leistungsfähigkeit verstösst. Denn aus praktischen Gründen ist es nicht durchführbar, jeden Steuerpflichtigen mathematisch genau gleich zu behandeln, weshalb der Gesetzgeber befugt ist, sche- matische Lösungen zu wählen (vgl. BGE 141 II 338 = Pra 2016 Nr. 45; BGE 133 II 305 = Pra 2008 Nr. 39; BGr, 7. Mai 2010, 2C_835/2009; je mit Hinweisen). bb) Im Fall der gemeinsamen elterlichen Sorge von nicht gemeinsam besteu- erten Eltern statuiert die bundesrechtliche Regelung in Art. 35 Abs. 1 lit. a Satz 2 DBG seit Beginn der Steuerperiode 2011 die hälftige Aufteilung des Kinderabzugs. Demge- genüber sah die kantonalrechtliche Regelung bis Ende Steuerperiode 2014 in § 34 Abs. 1 lit. a al. 2 StG noch vor, dass in Fällen, in denen Kinder unter gemeinsamer elterlicher Sorge nicht gemeinsam besteuerter Eltern stehen, der Kinderabzug demje- nigen Elternteil zustehe, aus dessen versteuerten Einkünften der Unterhalt des Kindes zur Hauptsache bestritten werde. Mit Gesetzesänderung vom 5. Mai 2014 wurde diese Bestimmung mit Wirkung per 1. Januar 2015 aufgehoben resp. durch die bundesrecht- liche Regelung ersetzt. Der revidierte § 34 Abs. 1 lit. a al. 2 StG lautet wie folgt: "Bei nicht gemeinsam besteuerten Eltern wird der Kinderabzug hälftig aufgeteilt, wenn das Kind unter gemeinsamer elterlicher Sorge steht und keine Unterhaltsbeiträge nach § 31 Abs. 1 lit. c für das Kind geltend gemacht werden." Der Gesetzeswortlaut ist eindeutig und lässt auch aufgrund seiner Entste- hungsgeschichte keinen Auslegungsspielraum offen. Mit der bewussten Abkehr von der früheren Ordnung und der Übernahme der bundesrechtlichen Regelung, welche aufgrund des verfassungsrechtlichen Anwendungsgebots in Art. 190 BV massgebend ist, hat der Kanton Zürich den Aspekten der Veranlagungsökonomie und der Rechtssi- cherheit Rechnung getragen. Die frühere Ordnung führte etwa dann zu Schwierigkei- ten, wenn das Einkommen eines der beiden Partner – etwa im Fall einer Veranlagung nach pflichtgemässem Ermessen – nicht klar zu ermitteln war oder wenn diese in ver- schiedenen Kantonen mit unterschiedlicher Regelung des Kinderabzugs wohnten. 2 DB.2018.77 2 ST.2018.93</w:t>
      </w:r>
    </w:p>
    <w:p>
      <w:r>
        <w:t>- 7 - d) Nach dem Gesagten stützt der klare Gesetzeswortlaut die dem Einspracheentscheid zugrundeliegende Auffassung des kantonalen Steueramts. Ob die im erwähnten Merkblatt erwähnte Ausnahmeregelung gesetzmässig ist oder nicht, erscheint als fraglich (StRG, 19. Dezember 2017, ST.2017.82, www.strgzh.ch), kommt vorliegend jedoch ohnehin nicht zur Anwendung, weil B in der Steuerperiode 2015 ein Erwerbseinkommen erzielt hat. e) Zwar ist das Anliegen des Pflichtigen verständlich, dass die ihm und seiner Lebenspartnerin zustehenden Kinderabzüge (sowie die damit einhergehenden Versi- cherungsprämienabzüge) möglichst vollständig ausgeschöpft werden. Denn mit dem Kinderabzug soll dem Umstand Rechnung getragen werden, dass Steuerpflichtige, die mit Kindern zusammenleben oder diese in ihrer Ausbildung finanziell unterstützen, im Verhältnis zu Steuerpflichtigen mit gleichem Einkommen, aber ohne derartige Ver- pflichtungen, eine unterschiedliche steuerliche Leistungskraft aufweisen (Baumgartner/ Eichenberger in: Kommentar zum Schweizerischen Steuerrecht, Bundesgesetz über die direkte Bundessteuer, 3. A., 2017, Art. 35 N 6 DBG). Eine Korrektur von sich aus dem Gesetz ergebenden möglichen Ungleichheiten im Zusammenhang mit den beiden genannten Abzügen ist jedoch dem Gesetzgeber vorbehalten. Hinzu kommt, dass El- tern an sich selbst wählen, welches Familienmodell gelebt bzw. wie der Unterhalt der Kinder bestritten werden soll (Ehe/Konkubinat, Einverdiener-/Doppelverdienerfamilie usw.). In diesem Zusammenhang hat das Bundesgericht schon angeführt, dass sepa- rat besteuerte Eltern innerhalb der Grenzen der Steuerumgehung nichts daran hindert, ihre Situation und die sich daraus ergebenden finanziellen Verpflichtungen hinsichtlich der steuerlichen Auswirkungen so zu regeln, dass im Rahmen der gemeinsamen elter- lichen Sorge und der alternierenden Obhut ihrer jeweiligen wirtschaftlichen Leistungs- fähigkeit am besten Rechnung getragen wird (BGE 133 II 305, E. 9.1 in fine und E. 9.2 in fine). Nach dem Gesagten ist es dem Pflichtigen beispielsweise unbenommen, sich vertraglich zu Unterhaltszahlungen gegenüber seiner Lebenspartnerin bezüglich des gemeinsamen Kindes zu verpflichten, wobei diese dann auch effektiv zu bezahlen sind (vgl. BGr, 1. September 2006, 2A_37/2006; Hunziker/Mayer-Knobel, Art. 33 N 21e ff. DBG). Eine Übersicht über die sich daraus für beide Elternteile ergebenden steuer- rechtlichen Folgen findet sich z.B. in Rz. 2.1.2.1 des vorne in E. 3b genannten Merk- blatts. Diese Erwägungen führen zur Abweisung von Beschwerde und Rekurs. 2 DB.2018.77 2 ST.2018.93</w:t>
      </w:r>
    </w:p>
    <w:p>
      <w:r>
        <w:t>- 8 - 4. Bei diesem Prozessausgang sind die Verfahrenskosten dem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