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DB.2018.64 vom 3. Oktober 2018</w:t>
      </w:r>
    </w:p>
    <w:p>
      <w:r>
        <w:t>ZH Steuerrekursgericht, 2018-10-03, DE</w:t>
      </w:r>
    </w:p>
    <w:p>
      <w:r>
        <w:rPr>
          <w:b/>
        </w:rPr>
        <w:t xml:space="preserve">Quelle: </w:t>
      </w:r>
      <w:r>
        <w:t>https://mcp.opencaselaw.ch/entscheid/zh_steuerrekursgericht_DB.2018.64</w:t>
      </w:r>
    </w:p>
    <w:p>
      <w:r>
        <w:t>FR: ZH_STEUERREKURSGERICHT DB.2018.64 du 3 octobre 2018</w:t>
      </w:r>
    </w:p>
    <w:p>
      <w:r>
        <w:t>IT: ZH_STEUERREKURSGERICHT DB.2018.64 del 3 ottobre 2018</w:t>
      </w:r>
    </w:p>
    <w:p>
      <w:pPr>
        <w:pStyle w:val="Heading2"/>
      </w:pPr>
      <w:r>
        <w:t>Regeste</w:t>
      </w:r>
    </w:p>
    <w:p>
      <w:r>
        <w:t>Anwendungsbereich der privilegierten Besteuerung des Kapitalgewinns aus der Veräusserung von landwirtschaftlichen Grundstücken. Charakter eines landwirtschaftlichen Grundstücks hier verneint für ein in der Landwirtschaftszone gelegenes Hausgrundstück sowie für eine in der Erholungszone (für Pferdesportanlagen) gelegene Parzelle.</w:t>
      </w:r>
    </w:p>
    <w:p>
      <w:pPr>
        <w:pStyle w:val="Heading2"/>
      </w:pPr>
      <w:r>
        <w:t>Erwägungen</w:t>
      </w:r>
    </w:p>
    <w:p>
      <w:r>
        <w:rPr>
          <w:b/>
        </w:rPr>
        <w:t>E. 2</w:t>
      </w:r>
    </w:p>
    <w:p>
      <w:r>
        <w:t>25'086 m² Land, u.a. mit Pferdestall Erholungszone</w:t>
      </w:r>
    </w:p>
    <w:p>
      <w:r>
        <w:rPr>
          <w:b/>
        </w:rPr>
        <w:t>E. 3</w:t>
      </w:r>
    </w:p>
    <w:p>
      <w:r>
        <w:t>295 m² Land mit Reservoir Landwirtschaftszone</w:t>
      </w:r>
    </w:p>
    <w:p>
      <w:r>
        <w:rPr>
          <w:b/>
        </w:rPr>
        <w:t>E. 4</w:t>
      </w:r>
    </w:p>
    <w:p>
      <w:r>
        <w:t>37'437 m² unüberbautes Land Landwirtschaftszone</w:t>
      </w:r>
    </w:p>
    <w:p>
      <w:r>
        <w:rPr>
          <w:b/>
        </w:rPr>
        <w:t>E. 5</w:t>
      </w:r>
    </w:p>
    <w:p>
      <w:r>
        <w:t>Bei diesem Prozessausgang sind die Kosten des Verfahrens dem Pflichti- gen aufzuerlegen (Art. 144 Abs. 1 DBG) und muss ihm eine Parteientschädigung ver- sagt bleiben (Art. 144 Abs. 4 DBG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