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DB.2018.157 vom 23. Mai 2019</w:t>
      </w:r>
    </w:p>
    <w:p>
      <w:r>
        <w:t>ZH Steuerrekursgericht, 2019-05-23, DE</w:t>
      </w:r>
    </w:p>
    <w:p>
      <w:r>
        <w:rPr>
          <w:b/>
        </w:rPr>
        <w:t xml:space="preserve">Quelle: </w:t>
      </w:r>
      <w:r>
        <w:t>https://mcp.opencaselaw.ch/entscheid/zh_steuerrekursgericht_DB.2018.157</w:t>
      </w:r>
    </w:p>
    <w:p>
      <w:r>
        <w:t>FR: ZH_STEUERREKURSGERICHT DB.2018.157 du 23 mai 2019</w:t>
      </w:r>
    </w:p>
    <w:p>
      <w:r>
        <w:t>IT: ZH_STEUERREKURSGERICHT DB.2018.157 del 23 maggio 2019</w:t>
      </w:r>
    </w:p>
    <w:p>
      <w:pPr>
        <w:pStyle w:val="Heading2"/>
      </w:pPr>
      <w:r>
        <w:t>Regeste</w:t>
      </w:r>
    </w:p>
    <w:p>
      <w:r>
        <w:t>Die Kosten einer Privatschule auf der Oberstufe können vorliegend mangels medizinischer und pädagogischer Notwendigkeit nicht als behinderungsbedingt abgezogen werden.</w:t>
      </w:r>
    </w:p>
    <w:p>
      <w:pPr>
        <w:pStyle w:val="Heading2"/>
      </w:pPr>
      <w:r>
        <w:t>Erwägungen</w:t>
      </w:r>
    </w:p>
    <w:p>
      <w:r>
        <w:rPr>
          <w:b/>
        </w:rPr>
        <w:t>E. 2</w:t>
      </w:r>
    </w:p>
    <w:p>
      <w:r>
        <w:t>ST.2018.187</w:t>
      </w:r>
    </w:p>
    <w:p>
      <w:r>
        <w:t>- 7 - differenzierte Beurteilung. Sodann habe das kantonale Steueramt auch nicht auf die "Möglichkeit eines Abzugs unter Fremdbetreuung" hingewiesen. Störend sei schliess- lich, dass "einerseits die Schule wie auch das Steueramt dem gleichen Kanton unter- stellt sind und ein für uns eklatanten Missstand darstellen". In der Replik führen die Pflichtigen ergänzend aus, dass ihrem Antrag die Di- agnose durch das Kinderspital Zürich und den Kinder- und jugendpsychologischen Dienst aus dem Jahr 2010 zugrunde liege. Darin würden bei C ein ADS Typus A, Le- gasthenie sowie eine audiovisuelle Schwäche festgestellt. Indem die öffentliche Schule der Wohnortgemeinde G dem Antrag auf Nachteilsausgleich unzureichend nachge- kommen sei, habe sie ihren Auftrag zur Gewährleistung eines angemessenen Grund- schulunterrichts verletzt. Der Schulleiter der Sekundarschule G habe später "zwingend empfohlen", dass C eine Privatschule besuchen solle, weil die Volksschule den Nach- teilsausgleich nicht gewährleisten könne. Der Evaluationsbericht der Bildungsdirektion von 2018 belege, dass die Schule G den Nachteilsausgleich mangelhaft umsetze. All- fälligen Einwänden der Schule hinsichtlich fehlender Ressourcen und unzumutbarem Mehraufwand sei zu entgegnen, dass sich dadurch eine Diskriminierung von behinder- ten Kindern nicht rechtfertigen lasse. Denn der Anspruch auf Chancengleichheit in der Grundausbildung sei verfassungsrechtlich garantiert. Dabei gehe Art. 14 der Verfas- sung des Kantons Zürich vom 27. Februar 2005 betreffend das Recht auf Bildung und den gleichberechtigten Zugang zu den Bildungsinstituten über das in Art. 19 der Bun- desverfassung vom 18. April 1999 verankerte Recht auf ausreichenden und unentgelt- lichen Grundschulunterricht hinaus. Diesen Anspruch von C habe die Schule G miss- achtet. Dadurch sei ihre Tochter über fünf Jahre psychologischem Druck ausgesetzt gewesen und ihr Selbstvertrauen habe trotz grossem persönlichem Einsatz der Eltern immer mehr abgenommen.</w:t>
      </w:r>
    </w:p>
    <w:p>
      <w:r>
        <w:rPr>
          <w:b/>
        </w:rPr>
        <w:t>E. 3</w:t>
      </w:r>
    </w:p>
    <w:p>
      <w:r>
        <w:t>a) Aufgrund von Lernschwierigkeiten in Deutsch und Mathematik führte der Schulpsychologische Dienst des Bezirks H eine Untersuchung durch. Im Bericht vom ... 2010 empfahl die Fachstelle eine Repetition der 3. Klasse sowie die Weiterführung der integrativen Förderung. Daraufhin wurde C vom behandelnden Kinderarzt dem Kinderspital Zürich, Abteilung Entwicklungspädiatrie, zugewiesen. Die zwei untersu- chenden Ärzte und eine Psychologin kamen am ... 2010 zu den Diagnosen einer al- tersentsprechenden kognitiven Entwicklung, einer Teilleistungsschwäche in der auditi- 2 DB.2018.157 2 ST.2018.187</w:t>
      </w:r>
    </w:p>
    <w:p>
      <w:r>
        <w:t>- 8 - ven und seriellen Merkfähigkeit, einer Unaufmerksamkeit Typ A1 (ohne Impulsivität und Hyperaktivität) sowie einer Lese- und Rechtschreibeschwierigkeit. Das Spital emp- fahl eine Lerntherapie mit psychologischer Begleitung, allenfalls verbunden mit einer befristeten medikamentösen Unterstützung wie etwa Ritalin. Weitere Untersuchungen waren nicht mehr vorgesehen. Sodann äusserte sich der Kinder- und Jugendpsychiat- rische Dienst des Kantons Zürich, Regionalstelle H, in einem Bericht vom ... 2010. Da- nach deuteten die Testergebnisse auf eine Aufmerksamkeitsstörung hin, die sich be- sonders im Bereich der Daueraufmerksamkeit und in einer erhöhten Ablenkbarkeit äusserten. Auffällig sei auch die verminderte Arbeitsgeschwindigkeit. Die Verhaltens- beobachtung bestätige dieses Bild und zeige ein ablenkbares, langsames und verspiel- tes Mädchen. Ferner müsse von einer Teilleistungsstörung im Bereich der Recht- schreibung ausgegangen werden, die teilweise mit der verminderten Speicherkapazität zusammenhänge. Schliesslich zeige das Schriftbild deutliche Auffälligkeiten. Als The- rapie- und Massnahmenplanung seien zur Vermeidung einer möglichen Anpassungs- störung infolge von übermässigem Leistungsdruck das Verständnis für die Defizite des Kindes und eine entsprechende Unterstützung sowie die Weiterführung der schuli- schen Hilfe in Form von IF sehr wichtig. Im Alltag müssten Zeiten für Spiel und Ent- spannung fest eingeplant werden. In der Folge fanden offenbar keine weiteren medizinischen Erhebungen statt, insbesondere nicht in der hier massgebenden Steuerperiode 2015. Der Gesundheits- zustand von C in jenem Zeitraum lässt sich daher nicht zuverlässig bestimmen. Diesen Nachweis zu leisten wäre nach dem in E. 1c) Gesagten Sache der Pflichtigen gewe- sen. Eine entsprechende Abklärung im heutigen Zeitpunkt wäre ebenfalls nicht mehr zielführend. b) aa) Die Pflichtigen stellen sich zusammengefasst auf den Standpunkt, dass die Primar- und Sekundarschule der Wohnortgemeinde G ihrer Tochter C trotz wieder- holter elterlicher Interventionen einen ungenügenden Nachteilsausgleich gewährt habe. Darunter hätten das Wohlbefinden und der Lernerfolg von C zunehmend gelitten, wo- nach der Übertritt in eine Privatschule unumgänglich geworden sei. bb) Unter dem Titel "Angebote der Regelschule" beschreibt das Volksschul- amt die integrative Ausrichtung des Unterrichts wie folgt (www.vsa.zh.ch): 2 DB.2018.157 2 ST.2018.187</w:t>
      </w:r>
    </w:p>
    <w:p>
      <w:r>
        <w:t>- 9 - "Die Förderung von Kindern mit besonderen pädagogischen Bedürfnissen und die sonderpädagogischen Angebote werden im Kanton Zürich auf den Grundsatz der In- tegration ausgerichtet. Die Regelschule als Ort für das gemeinsame Lernen anerkennt, dass Schülerinnen und Schüler sich hinsichtlich Entwicklungsstand, Lern- und Leistungsfähigkeit, sozialer und sprachlicher Herkunft oder Verhalten unterscheiden. Ein individualisierender und integrativer Unterricht mit entsprechenden Rahmenbedingungen unterstützt die Ent- wicklung und das Lernen aller Schülerinnen und Schüler und nutzt die Chancen der Gemeinschaft. Darum werden Kinder mit besonderen sonderpädagogischen Bedürfnissen möglichst innerhalb der Regelklasse gefördert, indem einerseits Fachpersonen die Klassenlehr- person unterstützen und beraten und andererseits integrative und individualisierende Unterrichtsformen eingesetzt werden. Durch diese Zusammenarbeit können Ressour- cen, Wissen und Erfahrung des ganzen Schulteams genutzt und die Schule als Gan- zes gestärkt werden. Für die Zuweisung zu sonderpädagogischen Massnahmen ist das Verfahren 'Schuli- sche Standortgespräche' verbindlich anzuwenden." cc) Wie sich den Akten entnehmen lässt, hat sich die Schule G sehr wohl da- rum bemüht, C einen angemessenen Nachteilsausgleich zu gewähren (vgl. dazu etwa das Protokoll des Standortgesprächs vom ... 2000 und die Aufzeichnungen der Eltern- gespräche vom ...2014 und ... 2014). Die ausführlichen Protokolle der Unterredungen, an denen die Schule jeweils prominent vertreten war, machen deutlich, dass die Auf- fassungen der Pflichtigen und der Schule hinsichtlich der schulischen Förderung und insbesondere des Nachteilsausgleichs für C weit auseinandergingen. Die von den Pflichtigen erwähnte "zwingende" Empfehlung des Schulleiters zum Wechsel an eine Privatschule kann nur so verstanden werden, dass die Volksschule aufgrund ihrer be- schränkten Mittel nur einen angemessenen und nicht den bestmöglichen Nachteils- ausgleich anbieten konnte. Es hätte den Pflichtigen freigestanden, bezüglich der von ihnen verlangten und von der Schule nicht gewährten Massnahmen eine rechtsmittel- fähige Verfügung zu verlangen und diese anzufechten. Weil sie dies unterlassen ha- ben, bleibt es dahingestellt, ob die Schule G Bestimmungen der zürcherischen Schul- gesetzgebung oder gar der Verfassung von Kanton und Bund verletzt hat oder nicht. Immerhin sei angemerkt, dass Art. 19 BV einen "ausreichenden" und nicht einen opti- malen Grundschulunterricht gewährleistet. Dass das in Art. 14 KV verankerte Recht auf Bildung über Art. 19 BV hinausgeht, mag zutreffen (so Biaggini, in: Häner/Rüssli/Schwarzenbach, Kommentar zur Zürcher Kantonsverfassung, 2007, Art. 14 Rz. 17 ff.), doch lässt sich aus dieser programmatischen Norm kein Anspruch auf bestimmte Leistungen der Schule ableiten. 2 DB.2018.157 2 ST.2018.187</w:t>
      </w:r>
    </w:p>
    <w:p>
      <w:r>
        <w:t>- 10 - c) Nach dem Gesagten lässt sich die Behauptung der Pflichtigen, dass die Schule G ihre Verpflichtungen gegenüber C mangelhaft erfüllt habe, nicht erhärten. Ein solcher Schluss kann auch nicht aus dem Vorbringen gezogen werden, dass C im Jahr 2016 an der Privatschule sehr gute Leistungen erbracht habe. Ebenso wenig lassen sich aus der offenbar erfreulichen späteren intellektuellen Entwicklung von C Rück- schlüsse auf die Verhältnisse vor Sommer 2015 an der Volksschule ziehen. Nichts zur Sache tut schliesslich der Evaluationsbericht der Fachstelle für Schulbeurteilung betref- fend die Schule G vom ... 2018. Dieser Bericht bezieht sich nicht nur auf einen späte- ren Zeitraum, sondern hat mit dem vorliegenden Fall überhaupt nichts zu tun. d) Zusammenfassend ergibt sich, dass aufgrund des nicht zweifelsfrei festste- henden Gesundheitszustands von C im Jahr 2015 und der aktenkundigen Bemühun- gen der Schule G zur Gewährung des Nachteilsausgleichs die behinderungsbedingte Notwendigkeit der weiteren Ausbildung in einer Privatschule nicht nachgewiesen ist. Diese Erwägungen führen zur Abweisung von Beschwerde und Rekurs.</w:t>
      </w:r>
    </w:p>
    <w:p>
      <w:r>
        <w:rPr>
          <w:b/>
        </w:rPr>
        <w:t>E. 4</w:t>
      </w:r>
    </w:p>
    <w:p>
      <w:r>
        <w:t>Wenn die Pflichtigen rügen, dass das kantonale Steueramt sie auf die "Möglichkeit eines Abzugs unter Fremdbetreuung" hätte hinweisen müssen , ist dem zu entgegnen, dass das Gesetz eine derartige Beratungspflicht nicht vorsieht. Sollte damit die Drittbetreuung ihrer Tochter gemeint sein, so scheitert ein solcher Abzug gemäss Art. 33 Abs. 3 DBG bzw. § 31 Abs. 1 lit. j StG schon daran, dass C in der Steuerperio- de 2015 das 14. Altersjahr bereits vollendet hat. Im Übrigen sind auch die weiteren hierfür erforderlichen Voraussetzungen nicht dargetan. Schliesslich geht der Vorwurf der Pflichtigen fehl, die Vorinstanz habe deswe- gen nicht unbefangen entschieden, "da einerseits die Schule wie auch das Steueramt dem gleichen Kanton unterstellt sind und ein für uns eklatanten Missstand darstellen". Das Steuerrekursgericht ist ebenfalls eine zürcherische Instanz und gleichwohl in der Lage, unvoreingenommen über Rechtsstreitigkeiten zwischen Steuerpflichtigen und dem Kanton zu entscheiden.</w:t>
      </w:r>
    </w:p>
    <w:p>
      <w:r>
        <w:rPr>
          <w:b/>
        </w:rPr>
        <w:t>E. 5</w:t>
      </w:r>
    </w:p>
    <w:p>
      <w:r>
        <w:t>Bei diesem Ausgang des Verfahrens sind die Gerichtskosten den Pflichti- gen aufzuerlegen (Art. 144 Abs. 1 DBG bzw. § 151 Abs. 1 StG). 2 DB.2018.157 2 ST.2018.187</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