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DB.2017.83 vom 23. Juni 2016</w:t>
      </w:r>
    </w:p>
    <w:p>
      <w:r>
        <w:t>ZH Steuerrekursgericht, 2016-06-23, DE</w:t>
      </w:r>
    </w:p>
    <w:p>
      <w:r>
        <w:rPr>
          <w:b/>
        </w:rPr>
        <w:t xml:space="preserve">Quelle: </w:t>
      </w:r>
      <w:r>
        <w:t>https://mcp.opencaselaw.ch/entscheid/zh_steuerrekursgericht_DB.2017.83</w:t>
      </w:r>
    </w:p>
    <w:p>
      <w:r>
        <w:t>FR: ZH_STEUERREKURSGERICHT DB.2017.83 du 23 juin 2016</w:t>
      </w:r>
    </w:p>
    <w:p>
      <w:r>
        <w:t>IT: ZH_STEUERREKURSGERICHT DB.2017.83 del 23 giugno 2016</w:t>
      </w:r>
    </w:p>
    <w:p>
      <w:pPr>
        <w:pStyle w:val="Heading2"/>
      </w:pPr>
      <w:r>
        <w:t>Regeste</w:t>
      </w:r>
    </w:p>
    <w:p>
      <w:r>
        <w:t>E-Tax einer GmbH infolge nicht eingereichter Steuererklärung und (im Einspracheverfahren verlang-ter) nicht eingereichter Unterlagen bestätigt, da die versäumten Handlungen im Rechtsmittelverfahren nicht vollständig nachgeholt wurden und überdies diverse Buchführungsmängel (Falschbuchungen, Lebenshaltungskosten des Anteilsinhabers, fehlende und nicht beweiskräftige Belege, fehlender Nachweis über die Verrechnung von Privatanteilen beim Fahrzeugsaufwand) zu Tage traten. Jedoch wurde aufgrund der im Rechtsmittelverfahren erstmals eingereichten Kontoblätter und Belge die globale Schätzung des Reingewinns erheblich nach unten korrigiert.</w:t>
      </w:r>
    </w:p>
    <w:p>
      <w:pPr>
        <w:pStyle w:val="Heading2"/>
      </w:pPr>
      <w:r>
        <w:t>Erwägungen</w:t>
      </w:r>
    </w:p>
    <w:p>
      <w:r>
        <w:rPr>
          <w:b/>
        </w:rPr>
        <w:t>E. 2</w:t>
      </w:r>
    </w:p>
    <w:p>
      <w:r>
        <w:t>ST.2017.103</w:t>
      </w:r>
    </w:p>
    <w:p>
      <w:r>
        <w:t>- 3 - In der Beschwerde- und Rekursantwort vom 15. Juni 2017 beantragte das kantonale Steueramt, die Rechtsmittel teilweise gutzuheissen und den steuerbaren Reingewinn auf je Fr. 10'000.- herabzusetzen. Ferner seien die Verfahrenskosten der Pflichtigen aufzuerlegen. Die Pflichtige verzichtete auf eine Stellungnahme zu diesen Anträgen. Auf die Parteivorbringen wird, soweit rechtserheblich, in den nachfolgenden Erwägungen eingegangen. Der Einzelrichter zieht in Erwägung: 1. Hat ein Steuerpflichtiger trotz Mahnung seine Verfahrenspflichten nicht er- füllt oder können die Steuerfaktoren mangels zuverlässiger Unterlagen nicht einwand- frei ermittelt werden, nimmt das kantonale Steueramt gemäss Art. 130 Abs. 2 des Bun- desgesetzes über die direkte Bundessteuer vom 14. Dezember 1990 (DBG) und § 139 Abs. 2 Satz 1 des Steuergesetzes vom 8. Juni 1997 (StG) die Veranlagung bzw. Einschätzung nach pflichtgemässem Ermessen vor. Die Vornahme einer Ermessens- veranlagung bzw. -einschätzung setzt also einen Untersuchungsnotstand voraus. Vorliegend hat die Pflichtige trotz öffentlicher Aufforderung und Mahnung vom</w:t>
      </w:r>
    </w:p>
    <w:p>
      <w:r>
        <w:rPr>
          <w:b/>
        </w:rPr>
        <w:t>E. 5</w:t>
      </w:r>
    </w:p>
    <w:p>
      <w:r>
        <w:t>Damit sind die getroffenen Ermessenseinschätzungen nur noch in betragli- cher Hinsicht auf ihre offensichtliche Unrichtigkeit zu überprüfen. Gemäss den im Beschwerde- und Rekursverfahren neu eingereichten Unter- lagen und der Jahresrechnung, die für das Geschäftsjahr 2014 einen Verlust von Fr. 65'670.- ausweist, erweist sich der geschätzte steuerbare Reingewinn von Fr. 50'000.- als zu hoch. Aufgrund der nicht nachgewiesenen Privatanteile an den Fahrzeugkosten (inkl. Abschreibungen), der nicht einwandfrei belegten Kosten, Falschbuchungen und unzulässigerweise dem Geschäftsaufwand belasteten Lebenshaltungskosten gemäss den Ausführungen in E. 3, ist der steuerbare Reingewinn gemäss dem Antrag des kan- tonalen Steueramts auf Fr. 10'000.- (direkte Bundessteuer 2014 und Staats- und Ge- meindesteuern 2014) herabzusetzen. Dementsprechend reduziert sich das steuerbare Kapital auf das einbezahlte Kapital von Fr. 20'000.-.</w:t>
      </w:r>
    </w:p>
    <w:p>
      <w:r>
        <w:rPr>
          <w:b/>
        </w:rPr>
        <w:t>E. 6</w:t>
      </w:r>
    </w:p>
    <w:p>
      <w:r>
        <w:t>Diese Erwägungen führen zur teilweisen Gutheissung der Rechtsmittel. Trotz diesem Verfahrensausgang sind die Gerichtskosten vollständig der Pflichtigen aufzuerlegen, da sie im obsiegenden Umfang bei pflichtgemässem Verhalten schon im Einspracheverfahren zu ihrem Recht gekommen wäre (Art. 144 Abs. 2 DBG, § 151 Abs. 1 StG). Die Kostenauflage im Einspracheverfahren von Fr. 500.- ist zu bestätigen, 2 DB.2017.83 2 ST.2017.103</w:t>
      </w:r>
    </w:p>
    <w:p>
      <w:r>
        <w:t>- 8 - da sie zu Recht nach pflichtgemässem Ermessen eingeschätzt worden ist (vgl. § 142 Abs. 2 Satz 2 StG i.V.m. § 18 der Verordnung zum Steuergesetz vom 1. April 1998 [VO StG]). Die Kostenhöhe ist angemessen (Ziffer 7.1. des Protokolls der Sitzung vom 16. Dezember 1998 der Kommission für kaufmännisches Steuerrecht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