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DB.2017.240 vom 5. Februar 2019</w:t>
      </w:r>
    </w:p>
    <w:p>
      <w:r>
        <w:t>ZH Steuerrekursgericht, 2019-02-05, DE</w:t>
      </w:r>
    </w:p>
    <w:p>
      <w:r>
        <w:rPr>
          <w:b/>
        </w:rPr>
        <w:t xml:space="preserve">Quelle: </w:t>
      </w:r>
      <w:r>
        <w:t>https://mcp.opencaselaw.ch/entscheid/zh_steuerrekursgericht_DB.2017.240</w:t>
      </w:r>
    </w:p>
    <w:p>
      <w:r>
        <w:t>FR: ZH_STEUERREKURSGERICHT DB.2017.240 du 5 février 2019</w:t>
      </w:r>
    </w:p>
    <w:p>
      <w:r>
        <w:t>IT: ZH_STEUERREKURSGERICHT DB.2017.240 del 5 febbraio 2019</w:t>
      </w:r>
    </w:p>
    <w:p>
      <w:pPr>
        <w:pStyle w:val="Heading2"/>
      </w:pPr>
      <w:r>
        <w:t>Regeste</w:t>
      </w:r>
    </w:p>
    <w:p>
      <w:r>
        <w:t>Bestand einer selbstständigen Erwerbstätigkeit. Ein pensionierter, vermögender Pflichtiger betreibt einen Gasthof seit 2007. Bis zur hier strittigen Steuerperiode sind Verluste im Umfang von über Fr. 3'000'000.- aufgelaufen. Erreichen der Gewinnzone nicht absehbar (bis und mit 2017). Nachweis der Gewinnstrebigkeit nicht gelungen, weshalb die Tätigkeit nicht (mehr) als selbstständige Erwerbstätigkeit qualifiziert werden kann.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ST.2017.296 Entscheid</w:t>
      </w:r>
    </w:p>
    <w:p>
      <w:r>
        <w:rPr>
          <w:b/>
        </w:rPr>
        <w:t>E. 5</w:t>
      </w:r>
    </w:p>
    <w:p>
      <w:r>
        <w:t>Nach alledem sind Beschwerde und Rekurs abzuweisen. Die Kosten des vorliegenden Verfahrens sind den Beschwerdeführern/Rekurrenten aufzuerlegen (Art. 144 Abs. 1 DBG; § 151 Abs. 1 StG) und die Zusprechung einer Parteientschädi- gung entfällt (Art. 144 Abs. 4 DBG i.V.m. Art. 64 Abs. 1 - 3 des Bundesgesetzes über das Verwaltungsverfahren vom 20. Dezember 1968 sowie § 152 StG i.V.m. § 17 Abs. 2 des Verwaltungsrechtspflegegesetzes vom 24. Mai 1959/6. September 1997).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