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DB.2017.111 vom 29. Oktober 2019</w:t>
      </w:r>
    </w:p>
    <w:p>
      <w:r>
        <w:t>ZH Steuerrekursgericht, 2019-10-29, DE</w:t>
      </w:r>
    </w:p>
    <w:p>
      <w:r>
        <w:rPr>
          <w:b/>
        </w:rPr>
        <w:t xml:space="preserve">Quelle: </w:t>
      </w:r>
      <w:r>
        <w:t>https://mcp.opencaselaw.ch/entscheid/zh_steuerrekursgericht_DB.2017.111</w:t>
      </w:r>
    </w:p>
    <w:p>
      <w:r>
        <w:t>FR: ZH_STEUERREKURSGERICHT DB.2017.111 du 29 octobre 2019</w:t>
      </w:r>
    </w:p>
    <w:p>
      <w:r>
        <w:t>IT: ZH_STEUERREKURSGERICHT DB.2017.111 del 29 ottobre 2019</w:t>
      </w:r>
    </w:p>
    <w:p>
      <w:pPr>
        <w:pStyle w:val="Heading2"/>
      </w:pPr>
      <w:r>
        <w:t>Regeste</w:t>
      </w:r>
    </w:p>
    <w:p>
      <w:r>
        <w:t>Sonder-Abschreibungen nach Abbruch der Gebäude. Bei gemeinsamer Bilanzierung von Land und Gebäude ist im Unterschied zur Einzelbewertung eine totale Abschreibung des Gebäudes nur bis zum aktuellen Verkehrswert des Landes zulässig.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ST.2017.140</w:t>
      </w:r>
    </w:p>
    <w:p>
      <w:r>
        <w:t>- 9 - sprechung abweichenden Ergebnis. Denn weder das Reglement der C vom …1996 über die Festsetzung, Kontrolle und Anfechtung der Mietzinse bei den unterstützten Wohnungen (Mietzinsreglement) noch das Reglement über das Rechnungswesen der von der C unterstützten Wohnbauträger (Rechnungsreglement) vom … 2003 enthalten Abschreibungsregeln, die den dargelegten Grundsätzen und der dazu ergangenen bundesgerichtlichen Rechtsprechung bei gemeinsamer Bewertung von Land und Ge- bäude widersprechen. Somit sind die Rechtsmittel abzuweisen.</w:t>
      </w:r>
    </w:p>
    <w:p>
      <w:r>
        <w:rPr>
          <w:b/>
        </w:rPr>
        <w:t>E. 3</w:t>
      </w:r>
    </w:p>
    <w:p>
      <w:r>
        <w:t>Bei diesem Verfahrensausgang sind die Gerichtskosten der Pflichtigen auf- zuerlegen (§ Art. 144 Abs. 1 DBG und § 151 Abs. 1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