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DB.2016.45 vom 19. August 2014</w:t>
      </w:r>
    </w:p>
    <w:p>
      <w:r>
        <w:t>ZH Steuerrekursgericht, 2014-08-19, DE</w:t>
      </w:r>
    </w:p>
    <w:p>
      <w:r>
        <w:rPr>
          <w:b/>
        </w:rPr>
        <w:t xml:space="preserve">Quelle: </w:t>
      </w:r>
      <w:r>
        <w:t>https://mcp.opencaselaw.ch/entscheid/zh_steuerrekursgericht_DB.2016.45</w:t>
      </w:r>
    </w:p>
    <w:p>
      <w:r>
        <w:t>FR: ZH_STEUERREKURSGERICHT DB.2016.45 du 19 août 2014</w:t>
      </w:r>
    </w:p>
    <w:p>
      <w:r>
        <w:t>IT: ZH_STEUERREKURSGERICHT DB.2016.45 del 19 agosto 2014</w:t>
      </w:r>
    </w:p>
    <w:p>
      <w:pPr>
        <w:pStyle w:val="Heading2"/>
      </w:pPr>
      <w:r>
        <w:t>Regeste</w:t>
      </w:r>
    </w:p>
    <w:p>
      <w:r>
        <w:t>Gesamtreineinkommenssteuer, Darlehen, Einschätzung nach pflichtgemässem Ermessen, Unrichtigkeitsnachweis, Nachholung der versäumten Handlung, Beweislast für steuermindernde Tatsachen. - Die Pflichtigen machten geltend, bei zwei Gutschriften auf einem Bankkonto in Höhe von Fr. 400'000 und Fr. 687'000 handle es sich um eine Darlehensgewährung eines inländischen Darlehensgebers bzw. einer Gesellschaft mit Sitz in Panama, konnten die diesbezüglichen Nachweise aber nicht erbringen. Da steuermindernde Tatsachen durch das kantonale Steueramt mitberücksichtigt wurden, wurde kein Beweislastentscheid mit einem Einkommenszufluss von Fr. 400'000 und Fr. 687'000 gefällt. Vielmehr wurde eine Ermessenseinschätzung vorgenommen. Auch vor Steuerrekursgericht wurde der Beweis nicht erbracht. Die Höhe der Schätzung ist angemessen.</w:t>
      </w:r>
    </w:p>
    <w:p>
      <w:pPr>
        <w:pStyle w:val="Heading2"/>
      </w:pPr>
      <w:r>
        <w:t>Erwägungen</w:t>
      </w:r>
    </w:p>
    <w:p>
      <w:r>
        <w:rPr>
          <w:b/>
        </w:rPr>
        <w:t>E. 2</w:t>
      </w:r>
    </w:p>
    <w:p>
      <w:r>
        <w:t>ST.2016.52</w:t>
      </w:r>
    </w:p>
    <w:p>
      <w:r>
        <w:t>- 10 - b) Der Steuerpflichtige kann aber noch darlegen und nachweisen, dass die Ermessensveranlagung offensichtlich unrichtig ist. Als offensichtlich unrichtig erweist sich eine Schätzung dann, wenn sie sachlich nicht begründbar (z.B. erkennbar pönal oder fiskalisch begründet) ist, sich auf sachwidrige Schätzungsgrundlagen, -methoden oder -hilfsmittel stützt oder sonst wie mit den konkreten aktenkundigen Verhältnissen nicht vereinbar ist (Zweifel, Art. 48 N 59 StHG und Art. 132 N 52 DBG, je mit Hinwei- sen). Ist dieser Nachweis geleistet, bleibt es zwar bei einer Ermessensveranlagung, doch wird die angefochtene durch eine neue (tiefere) Schätzung der Rechtsmit- telinstanz ersetzt. Dem Steuerrekursgericht sind im Rahmen der Willkürprüfung weitere Unter- suchungen verwehrt. Es hat vielmehr bei seiner eingeschränkten Überprüfung des an- gefochtenen Entscheids auf offensichtliche Unrichtigkeit hin nur jene im Zeitpunkt der Entscheidfällung vorhandenen Schriftstücke zu berücksichtigen, welche den behaupte- ten Sachverhalt sofort beweisen oder zumindest als sehr wahrscheinlich erscheinen lassen (VGr, 27. Mai 1986, SB 10/1986 und 11. September 1986, SB 38/1986; Martin Zweifel, Die Sachverhaltsermittlung im Steuerveranlagungsverfahren, 1989, S. 144). c) Mit der Beschwerde- und Rekursschrift brachten die Pflichtigen weder neue tatsächliche Behauptungen vor noch reichten sie neue Beweismittel ein oder nannten welche. Es ist nach wie vor unklar, welche Person aus welchem Rechtsgrund die frag- lichen Zahlungen leistete. Die Ermessensentscheide sind daher im Grundsatz zu bes- tätigen. d) Das kantonale Steueramt schätzte das steuerbare Einkommen 2012 auf Fr. 125'000- (direkte Bundessteuer) und Fr. 130'000.- (Staats- und Gemeindesteuern). Bei Einkommenszuflüssen von Fr. 400'000.- und Fr. 687'000.- erscheint diese Schät- zung äusserst zurückhaltend und wohlwollend. Keinesfalls fiel die Schätzung zu Un- gunsten der Pflichtigen aus. Die angefochtenen Einspracheentscheide sind somit auch mit Bezug auf die Höhe der Ermessensschätzungen zu bestätigen.</w:t>
      </w:r>
    </w:p>
    <w:p>
      <w:r>
        <w:rPr>
          <w:b/>
        </w:rPr>
        <w:t>E. 3</w:t>
      </w:r>
    </w:p>
    <w:p>
      <w:r>
        <w:t>a) Gestützt auf diese Erwägungen sind Beschwerde und Rekurs abzuwei- sen. 2 DB.2016.45 2 ST.2016.52</w:t>
      </w:r>
    </w:p>
    <w:p>
      <w:r>
        <w:t>- 11 - b) Ausgangsgemäss sind die Verfahrenskosten den Pflichtigen aufzuerlegen (Art. 144 Abs. 1 DBG und § 151 Abs. 1 StG). c) Eine Parteientschädigung ist keiner Partei zuzusprechen (Art. 144 Abs. 4 DBG i.V.m. Art. 64 Abs. 1 des Bundesgesetzes über das Verwaltungsverfahren vom 20. Dezember 1968 [VwVG] bzw. § 152 StG i.V.m. § 17 Abs. 2 des Verwaltungs- rechtspflegegesetzes vom 24. Mai 1959/22. März 2010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