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DB.2016.227 vom 27. Juni 2019</w:t>
      </w:r>
    </w:p>
    <w:p>
      <w:r>
        <w:t>ZH Steuerrekursgericht, 2019-06-27, DE</w:t>
      </w:r>
    </w:p>
    <w:p>
      <w:r>
        <w:rPr>
          <w:b/>
        </w:rPr>
        <w:t xml:space="preserve">Quelle: </w:t>
      </w:r>
      <w:r>
        <w:t>https://mcp.opencaselaw.ch/entscheid/zh_steuerrekursgericht_DB.2016.227</w:t>
      </w:r>
    </w:p>
    <w:p>
      <w:r>
        <w:t>FR: ZH_STEUERREKURSGERICHT DB.2016.227 du 27 juin 2019</w:t>
      </w:r>
    </w:p>
    <w:p>
      <w:r>
        <w:t>IT: ZH_STEUERREKURSGERICHT DB.2016.227 del 27 giugno 2019</w:t>
      </w:r>
    </w:p>
    <w:p>
      <w:pPr>
        <w:pStyle w:val="Heading2"/>
      </w:pPr>
      <w:r>
        <w:t>Regeste</w:t>
      </w:r>
    </w:p>
    <w:p>
      <w:r>
        <w:t>Der Steuerpflichtige und seine Ehefrau sind Geschäftsführer einer von ihnen beherrschten GmbH, welche kaufmännische Beratungsdienstleistungen erbringt. Der Steuerpflichtige ist zudem Verwaltungsratsmitglied einer Drittgesellschaft. Als Verwaltungsratshonorar erhält er Aktien und eine Barauszahlung, welche von der Drittgesellschaft vollumfänglich an die GmbH überwiesen wurde. Ferner erhalten seine Ehefrau und er einen Lohn von der GmbH, mit welchem nach Ansicht der Steuerpflichtigen auch der Baranteil des Verwaltungsratsmandats ausbezahlt werde. Daher deklarierte der Pflichtige den Baranteil des Verwaltungsratshonorars nicht in seiner persönlichen Steuererklärung. Nachdem ihm das kantonale Steueramt den Baranteil des Verwaltungsratshonorars als Einkommen in seiner persönlichen Veranlagung/Einschätzung aufgerechnet hatte, vertrat der Pflichtige die Ansicht, er könne den von der GmbH erhaltenen und mit der Steuererklärung eingereichten Lohnausweis nachträglich auf Fr. 0.- korrigieren, weil er die Jahresrechung der GmbH entsprechend geändert habe. Dieses Vorgehen wurde mit Bezug auf die GmbH insofern geschützt, als diese zwar (wie bisher) mit Fr. 0.- veranlagt, in der dazugehörenden Erwägung aber der höhere Verlust der revidierten Jahresrechnung ausgewiesen wurde. Daraus kann der Pflichtige jedoch nichts für seine persönliche Besteuerung herleiten. Vielmehr hat dort der eingereichte Lohnausweis mit dem deklarierten Einkommen Gültigkeit und kann nicht nachträglich auf ein Einkommen von Fr. 0.- korrigiert werden. Beschwerde bzw. Rekurs sind in diesem Punkt abzuweisen. Teilweise Gutheissung in einem Nebenpunkt.</w:t>
      </w:r>
    </w:p>
    <w:p>
      <w:pPr>
        <w:pStyle w:val="Heading2"/>
      </w:pPr>
      <w:r>
        <w:t>Erwägungen</w:t>
      </w:r>
    </w:p>
    <w:p>
      <w:r>
        <w:rPr>
          <w:b/>
        </w:rPr>
        <w:t>E. 2</w:t>
      </w:r>
    </w:p>
    <w:p>
      <w:r>
        <w:t>ST.2016.276</w:t>
      </w:r>
    </w:p>
    <w:p>
      <w:r>
        <w:t>- 7 - die bundesgerichtliche Rechtsprechung (BGr, 21. August 2013, 2C_95/2013) führte sie hierzu an, dass Verwaltungsratsmandate dem jeweiligen Verwaltungsrat in aller Regel ad personam und aufgrund seiner jeweiligen Erfahrung erteilt werden, weshalb ihm Verwaltungsratshonorare – unabhängig von der Form der Vergütung – unmittelbar zu- zuordnen seien. Die Verwendung dieser Einkünfte – wie eine Einzahlung in eine selbstbeherrschte Gesellschaft – seien bei der Berechnung des steuerbaren Einkom- mens nicht relevant. b) aa) Dies veranlasste die Pflichtigen zunächst dazu, am 16. Septem- ber 2016 Einsprache gegen die auf die C GmbH lautenden, die Steuerperiode 1.1. - 31.12.2014 betreffenden Schlussrechnungen vom 24. August bzw. 2. September 2016 zu erheben, welche auf der eingereichten Steuererklärung der C GmbH vom</w:t>
      </w:r>
    </w:p>
    <w:p>
      <w:r>
        <w:rPr>
          <w:b/>
        </w:rPr>
        <w:t>E. 7</w:t>
      </w:r>
    </w:p>
    <w:p>
      <w:r>
        <w:t>Gestützt auf diese Erwägungen sind die Beschwerde und der Rekurs teil- weise gutzuheissen, soweit darauf einzutreten ist. Aufgrund des nahezu vollständigen Unterliegens der Pflichtigen sowie des Umstands, dass der zur teilweisen Gutheissung führende Antrag auf Berücksichtigung von Behinderungskosten erstmals vor dem Steuerrekursgericht geltend gemacht wurde, sind die Kosten des Beschwerde-/Rekurs- verfahrens den Pflichtigen aufzuerlegen (Art. 144 Abs. 1 und Abs. 2 DBG bzw. § 151 Abs. 1 und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