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DB.2016.226 vom 24. Oktober 2017</w:t>
      </w:r>
    </w:p>
    <w:p>
      <w:r>
        <w:t>ZH Steuerrekursgericht, 2017-10-24, DE</w:t>
      </w:r>
    </w:p>
    <w:p>
      <w:r>
        <w:rPr>
          <w:b/>
        </w:rPr>
        <w:t xml:space="preserve">Quelle: </w:t>
      </w:r>
      <w:r>
        <w:t>https://mcp.opencaselaw.ch/entscheid/zh_steuerrekursgericht_DB.2016.226</w:t>
      </w:r>
    </w:p>
    <w:p>
      <w:r>
        <w:t>FR: ZH_STEUERREKURSGERICHT DB.2016.226 du 24 octobre 2017</w:t>
      </w:r>
    </w:p>
    <w:p>
      <w:r>
        <w:t>IT: ZH_STEUERREKURSGERICHT DB.2016.226 del 24 ottobre 2017</w:t>
      </w:r>
    </w:p>
    <w:p>
      <w:pPr>
        <w:pStyle w:val="Heading2"/>
      </w:pPr>
      <w:r>
        <w:t>Regeste</w:t>
      </w:r>
    </w:p>
    <w:p>
      <w:r>
        <w:t>Im Fall eines seit Jahren hängigen, komplexen Erbteilungsprozesses besteht eine nicht zu beseitigende Ungewissheit im Sachverhalt, weshalb eine Ermessensveranlagung vorzunehmen ist. Anstatt einer solchen hat das kantonale Steueramt eine ordentliche Veranlagung vorgenommen und dabei verschiedene Nachlassaktiven und -passiven ausser Acht gelassen. Rückweisung zur Neuentscheidung.</w:t>
      </w:r>
    </w:p>
    <w:p>
      <w:pPr>
        <w:pStyle w:val="Heading2"/>
      </w:pPr>
      <w:r>
        <w:t>Erwägungen</w:t>
      </w:r>
    </w:p>
    <w:p>
      <w:r>
        <w:rPr>
          <w:b/>
        </w:rPr>
        <w:t>E. 2</w:t>
      </w:r>
    </w:p>
    <w:p>
      <w:r>
        <w:t>Mit Auflage vom 9. Dezember 2014 ersuchte der Steuerkommissär den Pflichtigen um Beantwortung der folgenden Fragen bzw. um die Einreichung der erwähnten Unterlagen: "Vollständige Angaben zum Anteil an der unverteilten Erbschaft von C (gest. 30.03.2002) per 31.12.2012 sowie den im Jahr 2012 zugeflossenen Erträgen anhand von chronologisch geordneten beweiskräftigen Unterlagen (z.B. Kopie des Inventars, Erbteilungsunterlagen, Bankbelegen, Prozessunterlagen etc.)."</w:t>
      </w:r>
    </w:p>
    <w:p>
      <w:r>
        <w:rPr>
          <w:b/>
        </w:rPr>
        <w:t>E. 3</w:t>
      </w:r>
    </w:p>
    <w:p>
      <w:r>
        <w:t>Nachdem der Pflichtige am 15. Dezember 2014 hierzu Stellung genommen hatte, erliess der Steuerkommissär am 8. September 2015 folgende Mahnung: "Besten Dank für Ihre Sendung vom 15.12.2014 sowie die darin enthaltenen Informati- onen. Nachdem indessen weiterhin keine einwandfreie Ermittlung der Steuerfaktoren möglich ist, hat – nicht zuletzt aus formellen bzw. verfahrensrechtlichen Gründen – vorliegende Mahnung zu ergehen. Vollständige Angaben zum Anteil an der unverteilten Erbschaft von C (gest. 30.03.2002) per 31.12.2012 sowie den im Jahr 2012 zugeflossenen Erträgen anhand von chronologisch geordneten beweiskräftigen Unterlagen (z.B. Kopie des Inventars, Erbteilungsunterlagen, Bankbelegen, Prozessunterlagen etc.). Wir gehen davon aus, dass Sie auf die Gewährung des rechtlichen Gehörs, wie im Schreiben vom 15.12.2014 verlangt, verzichten. Sollten Sie jedoch weiterhin eine Be- sprechung wünschen, bitten wir Sie uns innert Frist … sich mit uns in Verbindung zu setzen und einen Termin zu vereinbaren."</w:t>
      </w:r>
    </w:p>
    <w:p>
      <w:r>
        <w:rPr>
          <w:b/>
        </w:rPr>
        <w:t>E. 4</w:t>
      </w:r>
    </w:p>
    <w:p>
      <w:r>
        <w:t>Nachdem der Pflichtige am 15. Oktober 2015 hierzu Stellung genommen und eine Besprechung zwischen dem zwischenzeitlich bestellten Vertreter des Pflichti- gen und dem Steuerkommissär vom 6. November 2015 zu keiner Einigung geführt hatte, nahm die Amtsstelle mit Schreiben vom 30. November 2015 zu ihrer Praxis zur Besteuerung von unverteilten Erbschaften Stellung und hielt dabei fest: "Da vorliegend weder der Umfang der Beteiligung, noch die Quote an derselben und die Berechtigung als Erbe an sich strittig sind, erfolgt die Besteuerung vorbehältlich der Resultate des hängigen Teilungsprozesses zurecht. Im Falle fehlender oder mangeln- der Möglichkeit, die Beteiligung an der unverteilten Erbschaft zu bewerten, wird das kantonale Steueramt die Bewertung aufgrund der vorliegenden Unterlagen schätzen müssen (allenfalls nach pflichtgemässem Teilermessen i.S.v. § 139 Abs. 2 StG [Steu- ergesetz vom 8. Juni 1997])." 2 DB.2016.226 2 ST.2016.274</w:t>
      </w:r>
    </w:p>
    <w:p>
      <w:r>
        <w:t>- 4 -</w:t>
      </w:r>
    </w:p>
    <w:p>
      <w:r>
        <w:rPr>
          <w:b/>
        </w:rPr>
        <w:t>E. 5</w:t>
      </w:r>
    </w:p>
    <w:p>
      <w:r>
        <w:t>a) Am Erbteil der Stiftung von 1/3 räume ich Schwiegernichte zu folgenden Bedin- gungen die Nutzniessung ein: b) Die Nutzniessung kann nicht auf einen anderen übertragen werden. Sie endigt mit dem Tod von Schwiegernichte. c) Zur Sicherstellung im Sinne von Art. 760 Abs. 2 ZGB ist das Nutzniessungsver- mögen in ein Depot der Bank F zu geben. d) aa) Im Sinne einer Auflage bestimme ich, dass die Verwaltung des Nutznies- sungsvermögens der Bank F obliegt. Schwiegernichte erhält den Ertrag des Nutz- niessungsvermögens. Sie hat Anspruch darauf, dass die Kapitalien sicher ange- legt werden und eine normale Rendite abwerfen. bb) Sollte die Bank F nicht gewillt oder nicht in der Lage sein, die Verwaltung des Nutzniessungsvermögens zu übernehmen, bestimmt mein Willensvollstrecker ei- nen geeigneten Ersatzverwalter. cc) Sollten nach meinem Tode während der Dauer der Nutzniessung gegen die Erteilung des Verwaltungsauftrages an die Bank F wichtige Gründe vorliegen, be- stimmt der Willensvollstrecker bzw. ein von ihm bestimmter Nachfolger einen ge- eigneten Ersatzverwalter. e) Eine Abtretung im Sinne von Art. 775 ZGB ist ausgeschlossen.</w:t>
      </w:r>
    </w:p>
    <w:p>
      <w:r>
        <w:rPr>
          <w:b/>
        </w:rPr>
        <w:t>E. 6</w:t>
      </w:r>
    </w:p>
    <w:p>
      <w:r>
        <w:t>a) Am Erbteil der Stiftung von 1/12 räume ich Neffe zu folgenden Bedingungen die Nutzniessung ein: wie Ziff. 5</w:t>
      </w:r>
    </w:p>
    <w:p>
      <w:r>
        <w:rPr>
          <w:b/>
        </w:rPr>
        <w:t>E. 7</w:t>
      </w:r>
    </w:p>
    <w:p>
      <w:r>
        <w:t>a) Am Erbteil der Stiftung von 1/12 räume ich Enkel zu folgenden Bedingungen die Nutzniessung ein: wie Ziff. 5</w:t>
      </w:r>
    </w:p>
    <w:p>
      <w:r>
        <w:rPr>
          <w:b/>
        </w:rPr>
        <w:t>E. 8</w:t>
      </w:r>
    </w:p>
    <w:p>
      <w:r>
        <w:t>Sollte einer der hier eingesetzten Erben den Anfall der Erbschaft nicht erleben, fällt sein Anteil an die Stiftung." Unter Titel "B. Teilungsvorschriften" wird sodann u.a. festgehalten, dass der Erbteil der Stiftung dieser durch den Willensvollstrecker in Wertschriften und anderen Bankguthaben zuzuweisen ist. Der Willensvollstrecker bestimmt die der Stiftung zukommenden Wertschriften und weist diese den drei Nutzniessungsvermögen ge- mäss Ziff. 5 - 7 der vorliegenden Urkunde zu. Ferner enthält Titel "C. Vermächtnisse" eine Aufstellung von Vermächtnissen, welche der Willensvollstrecker zulasten aller Erben innerhalb von sechs Monaten aus- zurichten hat. Den Schlussbestimmungen ist schliesslich zu entnehmen, dass als Erbe, Nutzniesser oder Vermächtnisnehmer wegfalle, wer als eingesetzter Erbe, Nutzniesser oder Vermächtnisnehmer das Testament anfechte, wobei an seine Stelle die Stiftung trete (sogenannte privatorische Klausel). 2 DB.2016.226 2 ST.2016.274</w:t>
      </w:r>
    </w:p>
    <w:p>
      <w:r>
        <w:t>- 6 - b) Bei dem in Ziffer 4 des Testaments als Neffe bezeichneten Erben handelt es sich um D, bei der Nichte um G. Der als "Enkel" aufgeführte Pflichtige ist der Sohn von D. Bei der in Ziffer 5a mit einer Nutzniessung bedachten "Schwiegernichte" handelt es sich um H. c) Zwischen der Stiftung E als Klägerin und Haupterbin (50%) einerseits sowie G, D, A und H andererseits ist ein Erbteilungsprozess vor einem ausserkantonalen Kantonsgericht hängig. Mit Verfügung vom 14. Januar 2016 sistierte das Gericht das Verfahren "auf bestimmte Zeit, d.h. bis 30. Juni 2016". Mitte 2016 war der Rechtsstreit nach wie vor hängig, laut Schreiben des Willensvollstreckers an den Pflichtigen zuhanden des Steueramtes I auch noch anfangs 2017. d) Das kantonale Steueramt erwog in den Einspracheentscheiden, dass der Pflichtige und sein Vater zu je 1/12 als Erben eingesetzt worden seien. Der Einwand, dass ersterer im Prozess mangels Pflichtteilsschutz seinen Erbanspruch aufgrund der privatorischen Klausel im Testament verliere, sei unbehelflich. Denn ein eingesetzter Erbe bleibe dies solange, bis das zuständige Gericht zur gegenteiligen Auffassung gelangt sei. Weil der Pflichtige ein entsprechendes Urteil nicht vorgelegt habe, bleibe seine Erbenstellung bestehen. Ebenso stosse sich der Pflichtige zu Unrecht daran, dass er für die "nicht ausgeschütteten" Erträge und "theoretisch testamentarische Erbquote" einer unverteilten Erbschaft als steuerpflichtig erklärt werde, obwohl er keine Verfügungsgewalt darüber habe. Das Nutzniessungsvermögen werde dem Nutzniesser zugerechnet; dieser habe nicht nur den kapitalisierten Ertragswert der Nutzniessung, sondern den vollen Wert des Vermögensgegenstands zu versteuern, wie wenn es in seinem vollen Eigentum stünde. Vorliegend seien die Vermögenswerte bzw. die Erträ- ge aus der unverteilten Erbschaft aufgrund der vom Erbenvertreter eingereichten For- mulare S-167 ermittelt worden. Der Umstand, dass der genaue Frankenbetrag des dem Pflichtigen zufallenden Anteils bis zur Erbteilung bzw. Auszahlung nicht bekannt sei, ändere nichts an der gesetzlichen Regelung, wonach diese Vermögenswerte bzw. Vermögenserträge von den einzelnen Erben versteuert werden müssten. Deren Be- rechnung sei aufgrund der vorliegenden Akten korrekt vorgenommen worden. Ergän- zend hält die Amtsstelle in der Beschwerde-/Rekursantwort fest, dass gewisse Unklar- heiten im Sachverhalt bestünden, die Veranlagung aber dennoch als richtig erscheine. Eine Sistierung des Verfahrens erscheine deswegen nicht als sachgerecht, weil immer noch nicht absehbar sei, wann die Erbteilung abgeschlossen werden könne. Nachdem 2 DB.2016.226 2 ST.2016.274</w:t>
      </w:r>
    </w:p>
    <w:p>
      <w:r>
        <w:t>- 7 - der Pflichtige mehrfach angehört worden sei, liege eine Verletzung des rechtlichen Gehörs nicht vor. e) Zur Begründung von Beschwerde und Rekurs bringt der Pflichtige vor, dass die Erbquoten aufgrund der Mechanik des Testaments nicht eindeutig sowie Gegen- stand eines hängigen und bis Ende 2016 sistierten Zivilprozesses seien. Seit dem Ab- leben der Erblasserin habe weder eine Erbteilung stattgefunden noch seien Nutznies- sungserträge ausgeschüttet worden. Bis zu seiner Volljährigkeit habe eine Beiständin die Interessen des Pflichtigen gewahrt. Den Schlussbericht der zuständigen KESB ha- be der Pflichtige einsehen können, eine Schlussabrechnung über das Mündelvermö- gen und die Erträge daraus sei bislang jedoch nicht erstellt worden. Ohne solche Ab- rechnung könne die Besteuerung des Erbanteils nicht vorgenommen werden. Von dem seitens des kantonalen Steueramts erwähnten Formular S-167 habe er keine Kenntnis. Dass die Vorinstanz trotz des unschlüssigen Sachverhalts einen Einspracheentscheid erlassen habe, stelle eine Gehörsverweigerung dar. Das kantonale Steueramt verken- ne, dass sich der Nutzniessungsanspruch des Pflichtigen nicht gegen die Erbenge- meinschaft, sondern gegen die Stiftung E richte. Dieser Anspruch lasse sich allerdings erst dann durchsetzen, wenn die Stiftung E nach erfolgter Teilung Eigentümerin dieses Vermögens geworden sei. Solange die Teilung nicht stattgefunden habe, sei sie jedoch ausserstande, die Nutzniessung zu gewähren. Auf diesen Standpunkt stelle sich auch der Willensvollstrecker. In der Stellungnahme zur Beschwerde-/Rekursantwort hält der Pflichtige an seinen Anträgen und Ausführungen mit dem Hinweis fest, dass eine Erb- teilung noch immer nicht erfolgt sei und deswegen kein Nutzniessungsanspruch des Pflichtigen gegenüber der Stiftung E bestehe. Darüber hinaus macht er erstmals Ver- mögensverwaltungskosten im geschätzten Umfang von Fr. 35'000.- geltend. 2. a) Gemäss Art. 41 i.V.m. Art. 210 Abs. 1 des Bundesgesetzes über die direkte Bundessteuer vom 14. Dezember 1990 [DBG] bzw. § 50 Abs. 1 StG bemisst sich das steuerbare Einkommen nach den Einkünften in der Steuerperiode. Das steu- erbare Vermögen bemisst sich nach dem Stand am Ende der Steuerperiode (§ 51 Abs. 1 StG). Als Steuerperiode gilt das Kalenderjahr (Art. 41 i.V.m. Art. 209 Abs. 2 DBG bzw. § 49 Abs. 2 StG). Nach Art. 9 Abs. 2 DBG i.V.m. Art. 6 Abs. 1 der bis am 31. Dezember 2013 anwendbaren Verordnung über die zeitliche Bemessung der direkten Bundessteuer bei natürlichen Personen vom 16. September 1992 bzw. § 52 Abs. 1 StG (in der bis am 31. Dezember 2012 anwendbaren Fassung) werden Steuer- 2 DB.2016.226 2 ST.2016.274</w:t>
      </w:r>
    </w:p>
    <w:p>
      <w:r>
        <w:t>- 8 - pflichtige erstmals für die Steuerperiode, in der sie mündig werden, selbstständig ein- geschätzt. Ab Beginn des Kalenderjahres, in dem das Kind das 18. Lebensjahr vollen- det, wird es nicht nur für sein Erwerbseinkommen, sondern auch für sein übriges Ein- kommen selbstständig besteuert. Da das Kind schon vor der Volljährigkeit steuerpflichtig war (wenn auch nicht selbständig), tritt das nun volljährige Kind mit der Volljährigkeit nicht neu in die Steuerpflicht ein; es wird neu einzig für alle Einkommens- bestandteile selbstständig besteuert (Richner/Frei/Kaufmann/Meuter, Handkommentar zum DBG, 3. A., 2016, Art. 41 N 117 ff. DBG, und Kommentar zum Zürcher Steuerge- setz, 3. A., 2013, § 52 N 2 ff. StG) b) Der Pflichtige vollendete im Jahr 2012 sein 18. Altersjahr und wurde somit kraft Art. 14 ZGB volljährig. Entsprechend wird er für das ganze Jahr 2012 selbststän- dig besteuert. Für die Besteuerung massgebend sind die gesamten Einkünfte des Pflichtigen in der Steuerperiode 2012 sowie dessen Vermögen per 31. Dezember 2012. Deren Höhe ist vorliegend mit Bezug auf die Erbschaft des Pflichtigen strittig. 3. a) Das Erbrecht sieht vor, dass ein Erblasser für die ganze Erbschaft oder für einen Bruchteil einen oder mehrere Erben einsetzen kann. Als Erbeinsetzung ist jede Verfügung zu betrachten, nach der ein Bedachter die Erbschaft insgesamt oder zu einem Bruchteil erhalten soll (Art. 483 Abs. 1 und 2 ZGB). Die Zuwendung einer Nutz- niessung ist, wenn nicht ausdrücklich als Teilungsvorschrift bezeichnet, Vermächtnis, und zwar selbst, wenn sie nur eine Quote des Nachlasses belasten soll (Daniel Staehelin, in: Basler Kommentar, 5. A., 2015, Art. 483 N 3 ZGB). Der Erblasser kann sodann einem Bedachten, ohne ihn als Erben einzuset- zen, einen Vermögensvorteil als Vermächtnis zuwenden. Er kann ihm eine einzelne Erbschaftssache oder die Nutzniessung an der Erbschaft im ganzen oder zu einem Teil vermachen oder die Erben oder Vermächtnisnehmer beauftragen, ihm Leistungen aus dem Wert der Erbschaft zu machen oder ihn von Verbindlichkeiten zu befreien (Art. 484 Abs. 1 und 2 ZGB). Die Sache ist dem Bedachten in dem Zustand und in der Beschaffenheit, mit Schaden und mit Zuwachs, frei oder belastet auszuliefern, wie sie sich zur Zeit der Eröffnung des Erbganges vorfindet. Für Aufwendungen, die der Be- schwerte seit der Eröffnung des Erbgangs auf die Sache gemacht hat, sowie für Ver- schlechterungen, die seither eingetreten sind, steht er in den Rechten und Pflichten eines Geschäftsführers ohne Auftrag (Art. 485 Abs. 1 und 2 ZGB). Aus dem Anspruch 2 DB.2016.226 2 ST.2016.274</w:t>
      </w:r>
    </w:p>
    <w:p>
      <w:r>
        <w:t>- 9 - des Beschwerten auf Ersatz seiner Aufwendungen ergibt sich, dass dafür im Gegen- zug dem Berechtigten die Erträgnisse aus der Vermächtnissache seit dem Erbgang zustehen (OGer ZH, 22. Dezember 1995, ZR 1997 Nr. 27; Bruno Huwiler, in: Basler Kommentar, 5. A., 2015, Art. 485 N 27 ZGB). b) aa) Durch den Tod des Erblassers wird der Erbgang eröffnet (Art. 537 Abs. 1 ZGB). Nach Art. 560 ZGB erwerben die Erben die Erbschaft als Ganzes mit dem Tod des Erblassers kraft Gesetz; mit Vorbehalt der gesetzlichen Ausnahmen ge- hen die Forderungen, das Eigentum, die beschränkten dinglichen Rechte und der Be- sitz des Erblassers ohne weiteres und insgesamt auf sie über, die Schulden des Erb- lassers werden zu ihren persönlichen Schulden. Die Erbfolge des ZGB wird somit vom Grundsatz der Gesamtnachfolge, der Universalsukzession, beherrscht. Dies bedeutet, dass die einzelnen Vermögensgegenstände des Erblassers nicht je gesondert auf die Erben übergehen, sondern dass der ganze Inbegriff vererblicher Verhältnisse, in denen der Erblasser bei seinem Tod gestanden hat, als eine geschlossene Einheit auf die Erben übergeht (BGE 107 Ib 22, E. 2a). Beerben mehrere Erben den Erblasser, so besteht unter ihnen, bis die Erb- schaft geteilt wird, infolge des Erbgangs eine Gemeinschaft aller Rechte und Pflichten der Erbschaft. Sie werden Gesamteigentümer der Erbschaftsgegenstände und verfü- gen unter Vorbehalt der vertraglichen und gesetzlichen Vertretungs- und Verwaltungs- befugnisse über die Rechte der Erbschaft gemeinsam (Art. 602 Abs. 1 und 2 ZGB). Ihr Gesamteigentum hat gemäss Art. 652 ZGB zur Folge, dass das Recht jedes einzelnen je auf die ganze Sache geht. Nach Art. 653 Abs. 3 ZGB besteht der Anteil jedes ein- zelnen an der Sache ausschliesslich in einer – umfangmässig dem individuellen Erban- teil des betreffenden Erben entsprechenden – latenten oder ideellen Quote, über die nicht individuell verfügt werden kann (Thomas Weibel, in: Praxiskommentar Erbrecht, 3. A., 2015, Art. 602 N 13 ZGB). bb) Die rechtliche Stellung von Erben unterscheidet sich von derjenigen von Vermächtnisnehmern. Letztere haben gegen die Beschwerten oder, wenn solche nicht besonders genannt sind, gegen die gesetzlichen oder eingesetzten Erben (lediglich) einen persönlichen Anspruch, der – wenn aus der Verfügung nichts anderes hervor- geht – fällig wird, sobald der Beschwerte die Erbschaft angenommen hat oder sie nicht mehr ausschlagen kann (Art. 562 Abs. 1 und 2 ZGB). Ist dem Bedachten eine Nutz- niessung oder eine Rente oder eine andere wiederkehrende Leistung vermacht, so 2 DB.2016.226 2 ST.2016.274</w:t>
      </w:r>
    </w:p>
    <w:p>
      <w:r>
        <w:t>- 10 - bestimmt sich sein Anspruch, wo es nicht anders angeordnet ist, nach den Vorschriften des Sachen- und Obligationenrechts (Art. 563 Abs. 1 ZGB; dies betrifft sowohl den Inhalt als auch die Modalitäten des Erwerbs des Vermächtnisses, vgl. Matthias Häuptli, in: Praxiskommentar Erbrecht, 3. A., 2015, Art. 563 N 1 ff. ZGB). Das Vermächtnis be- steht somit in einer Forderung des Bedachten gegenüber dem Beschwerten (resp. ei- ner Verpflichtung für Letzteren). Diese Vermächtnisforderung ist ein rein obligatorischer Anspruch und entsteht mit dem Tod des Erblassers. Der Bedachte erlangt damit einen persönlichen Anspruch auf Übertragung des vermachten Vermögenswertes, also auf Tradition der körperlichen beweglichen Sachen, grundbuchliche Übertragung der Rechte an Grundstücken, Übergabe bzw. Grundbucheintragung bei Nutzniessung so- wie Zession bei Forderungen. Vorher ist der Vermächtnisnehmer weder Eigentümer noch dinglich Berechtigter und ebenso wenig Gläubiger der ihm vermachten Forderun- gen (Arnold Escher, in: Zürcher Kommentar, 3. A., 1960, Art. 562 N 1 ZGB). Ist die Vermächtnisforderung fällig, kann der Vermächtnisnehmer vom Beschwerten die Erfül- lung der Vermächtnisforderung verlangen. Die Erfüllung der Verpflichtung des Beschwerten erfordert dessen Verfü- gungsmacht über den Gegenstand des Vermächtnisses. Keine Schwierigkeiten bieten sich, wenn sich dieser im Nachlass befindet und alle Miterben beschwert sind, wenn also Beschwerung durch das Vermächtnis und Verfügungsmacht zusammenfallen (Häuptli, Art. 562 N 7 ff. ZGB). Schwieriger gestaltet sich die Rechtslage, wenn nicht die Erbengemeinschaft als solche, sondern einzelne oder nur ein Erbe mit der Ausrich- tung des Vermächtnisses beschwert sind (Huwiler, Art. 562 N 13 ff. ZGB). Lautet das Vermächtnis beispielsweise auf eine bestimmte Sache und ist lediglich ein Erbe be- schwert, so liegt das (Gesamt-)Eigentum daran infolge Erbgangs zunächst allein bei der Erbengemeinschaft. Der beschwerte Erbe wird sich alsdann im Rahmen der Erbtei- lung um Zuweisung des (Allein-)Eigentums an der Sache bemühen müssen, um an- schliessend in einem nächsten Schritt die Vermächtnisforderung des Bedachten erfül- len zu können, indem er diesem die Sache dann zu (Allein-)Eigentum überträgt. Jedenfalls ist der Vermächtnisnehmer bei Fälligkeit des Anspruchs berechtigt, diesen mit der Vermächtnisklage (vgl. Art. 601 ZGB) gegenüber dem oder den belaste- ten Erben geltend zu machen. Bei der Nutzniessung lautet die Klage auf Herausgabe der nutzniessungsbelasteten Vermögenswerte zur Nutzniessung (Realvollstreckung). Sofern die Nutzniessung auf dem gesamten Nachlass lastet oder die belasteten Ver- mögenswerte bestimmt sind, ist eine Realvollstreckung grundsätzlich immer möglich. 2 DB.2016.226 2 ST.2016.274</w:t>
      </w:r>
    </w:p>
    <w:p>
      <w:r>
        <w:t>- 11 - Probleme ergeben sich jedoch da, wo die Nutzniessung auf einer Quote des Nachlas- ses lastet, wobei dann drei Fälle zu unterscheiden sind (Alexandra Rumo-Jungo, Nutz- niessung in der Erbteilung, successio - Zeitschrift für Erbrecht, 2011, S. 9 f., auch zum Folgenden): 1. Besteht der Nutzniessungsanspruch an einer Erbquote, so besteht solange kein Problem, als die Nutzniesserin am gesamten Nachlass berechtigt ist, teils als Er- bin, teils als Nutzniesserin. Die Nutzniessung erfordert hier keine Erbteilung. […]. 2. Ist die Nutzniesserin gleichzeitig auch Erbin, aber nicht am gesamten Nachlass berechtigt, so steht ihr als Erbin immerhin ein Teilungsanspruch sowie das Recht zur Mitwirkung an der Teilung (und mithin zur Bestimmung der Vermögenswerte, die der Nutzniessung unterliegen sollen) zu. 3. In allen anderen Fällen setzt die Herausgabe des Nutzniessungsvermögens die Erbteilung voraus. Als Vermächtnisnehmerin hat die Nutzniessungsberechtigte al- lerdings keinen Anspruch auf Mitwirkung an der Erbteilung. Diese hat sie den Er- ben zu überlassen. Das gilt auch da, wo die Vermächtnisnehmerin die Nutznies- sung (am sonst nicht näher definierten) Erbteil bestimmter Erben erhält und sie mithin faktisch ein Interesse daran hat, wie sich deren Erbteil zusammensetzt. Dieses Interesse ist aber rechtlich nicht geschützt, solange der Erblasser selber die Gegenstände nicht konkretisiert, sondern den nutzniessungsbelasteten Erbteil nur quotenmässig festgelegt hat. Bei Bestimmung der Nutzniessungsgegenstände steht der Nutzniessungsberechtigten einzig ein (Herausgabe-)Anspruch gegen- über dem belasteten Erben zu und kein Recht auf Mitwirkung auf deren Auseinan- dersetzung mit den anderen Erben in der Erbteilung. Mit der Vermächtnisklage können die belasteten Erben aber indirekt zur Erbteilung verpflichtet werden. […]. 4. a) Nach § 38 Abs. 1 StG bzw. Art. 13 Abs. 1 des Bundesgesetzes über die Harmonisierung der direkten Steuern der Kantone und Gemeinden vom 14. Dezem- ber 1990 (StHG) unterliegt das gesamte Reinvermögen der Vermögenssteuer. Steuer- bar sind danach alle Aktiven, soweit sie nicht durch besondere gesetzliche Vorgabe von der objektiven Steuerpflicht ausgenommen sind. Das steuerbare Vermögen ist deshalb die Gesamtheit der einer Person zivilrechtlich zustehenden und rechtlich reali- sierbaren geldwerten Rechte an Sachen sowie an Forderungen und Beteiligungen; 2 DB.2016.226 2 ST.2016.274</w:t>
      </w:r>
    </w:p>
    <w:p>
      <w:r>
        <w:t>- 12 - diese können sowohl dinglicher als auch obligatorischer Natur sein (BGr, 4. April 2011, 2C_821/2010, E. 4.4; BGE 136 II 256, E. 3.2). § 38 Abs. 2 StG hält sodann fest, dass Nutzniessungsvermögen dem Nutzniesser zugerechnet wird. Der Nutzniesser hat da- bei nicht nur den kapitalisierten Ertragswert, sondern den vollen Wert des Vermögens- gegenstandes zu versteuern, wie wenn er in seinem vollen Eigentum stünde (RB ORK 1950 Nr. 36; Richner/Frei/Kaufmann/Meuter, § 38 N 8 StG). b) Der Einkommenssteuer unterliegen alle wiederkehrenden und einmaligen Einkünfte (Art. 16 Abs. 1 DBG bzw. § 16 Abs. 1 StG bzw. Art. 7 Abs. 1 StHG). Die Steuergesetzgebung verwirklicht mit dieser Einkommensgeneralklausel den Grundsatz der Gesamtreineinkommenssteuer. Diese Generalklausel – welche einen Auffangtat- bestand für sämtliche Einkünfte darstellt und keine Rücksicht auf deren Quelle nimmt – wird ergänzt durch eine beispielhafte, nicht abschliessende Aufzählung verschiedener Einkommensbestandteile in Art. 17-23 DBG bzw. §§ 17-23 StG (Richner/Frei/ Kaufmann/Meuter, Art. 16 N 1 ff. DBG, § 16 N 1 ff. StG). So konkretisiert Art. 20 Abs. 1 DBG bzw. § 20 Abs. 1 StG, dass alle Erträge aus beweglichem Vermögen steuerbar sind. Letzteres umfasst Fahrnissachen (bewegliche Sachen), Guthaben (Forderungen) sowie Rechte (Richner/Frei/Kaufmann/Meuter, Art. 20 N 2 DBG, § 20 N 3 StG). Insbe- sondere für steuerbar erklärt werden in lit. d Einkünfte aus Nutzniessung (vgl. auch Art. 21 Abs. 1 lit. a DBG bzw. § 21 Abs. 1 lit. a StG bei unbeweglichem Vermögen). c) Erbengemeinschaften sind als solche gemäss Art. 10 Abs. 1 DBG bzw. § 9 Abs. 1 StG nicht steuerpflichtig; ihr Einkommen und Vermögen wird den einzelnen Erben oder Bedachten zugerechnet. aa) Wie in E. 3b/aa bereits ausgeführt, erwerben die Erben die Erbschaft im Zeitpunkt des Todes des Erblassers und gehen die Rechte und Pflichten am Nachlass auf sie über. Die Erbschaft steht ihnen seit dem Tod des Erblassers zu, ungeachtet dessen, ob die Erbteilung stattgefunden hat oder nicht. Damit können diese Anteile den einzelnen Erben wie andere Einkommens- und Vermögensteile zugerechnet werden (Richner/Frei/Kaufmann/Meuter, Art. 10 N 9 DBG, § 9 N 5 StG). Dementsprechend hat jeder für sich den auf ihn entfallenden Anteil am Nachlass als Einkommen bzw. Ver- mögen zu deklarieren und zu versteuern. 2 DB.2016.226 2 ST.2016.274</w:t>
      </w:r>
    </w:p>
    <w:p>
      <w:r>
        <w:t>- 13 - bb) Das Vermächtnis als Verfügung von Todes wegen lässt mit dem Tod des Erblassers ipso iure im Vermögen des Vermächtnisnehmers eine - klagbare - Forderung gegen den Beschwerten auf Verschaffung des ihm zugedachten Vorteils entstehen. Aufgrund dieser zivilrechtlichen Regelung geht das Vermächtnis mit dem Erbgang in das steuerbare Vermögen des Bedachten über. Materiell handelt es sich beim Vermächtnis denn auch um einen Vermögenserwerb von Todes wegen, weshalb es durchwegs der Erbschaftssteuer unterliegt. Dass die Forderung erst fällig wird, wenn der Beschwerte die Erbschaft angenommen hat oder sie nicht mehr ausschlagen kann (Art. 562 Abs. 2 ZGB), ändert daran nichts, denn die Fälligkeit einer Forderung ist nicht Voraussetzung für die Zurechnung zum steuerbaren Vermögen (BGr, 4. April 2011, 2C_821/2010, E. 4.4.1, mit Hinweisen). Die Bedachten (Vermächtnisnehmer) werden folglich mit dem Erbgang steuerpflichtig für ihr Vermächtnis, auch wenn ihnen dieses später ausgerichtet wird. Das Vermächtnis stellt bis zur Ausrichtung für die Bedachten eine steuerbare Forderung und für die Erbberechtigten eine Schuld dar (vgl. Andreas Schorno, in: Kommentar zum Aargauer Steuergesetz, 4. A., 2015, § 10 N 6). Nicht anders verhält es sich hinsichtlich der dem Vermächtnisnehmer zustehenden Erträgnisse, die das Vermächtnis seit dem Erbgang abwirft (vgl. vorne E. 3a). cc) Bei Vermögen, an dem eine Nutzniessung besteht, sind die entsprechen- den Einkommen und Vermögen schon während der Dauer der Erbengemeinschaft dem Nutzniesser zuzurechnen. Dabei ist bedeutungslos, ob die Nutzniessung auf einer gesetzlichen, testamentarischen oder vertraglichen Anordnung beruht oder ob es sich um ein rein tatsächliches Nutzungsverhältnis handelt (Richner/Frei/Kaufmann/Meuter, § 9 N 6 StG; ebenso Reimann/Zuppinger/Schärrer, Kommentar zum Zürcher Steuer- gesetz, 1. Band, 1961, § 12 N 6; AGVE 1980, 346 f., auch zum Folgenden). Nicht von Belang ist, ob der Nutzniesser das ihm rechtlich zur Nutzniessung zur Verfügung ste- hende Vermögen tatsächlich genutzt hat. dd) Steuerrechtlich gilt Einkommen oder Ertrag als realisiert, sobald die steu- erpflichtige Person Leistungen vereinnahmt oder zumindest einen festen Rechtsan- spruch darauf erwirbt, über den sie tatsächlich verfügen kann ("Soll-Methode"). Erfor- derlich ist ein abgeschlossener Erwerbsvorgang. Auf den Zeitpunkt der tatsächlichen Erfüllung des Anspruchs kommt es grundsätzlich nicht an. Der Rechtserwerb kann sich als Forderungs- (obligatorisches Recht) oder Eigentumserwerb (dingliches Recht) dar- stellen (BGr, 13. Juni 2016, 2C_1050/2015, E. 2.2). Der Forderungserwerb ist in der Regel Vorstufe der Geldleistung. Der Steuerpflichtige erwirbt eine Geldforderung; mit 2 DB.2016.226 2 ST.2016.274</w:t>
      </w:r>
    </w:p>
    <w:p>
      <w:r>
        <w:t>- 14 - der Zahlung fällt das Geld in sein Eigentum. Bei diesem zweistufigen Erwerb entsteht die Steuerpflicht entweder beim Forderungserwerb oder beim Eigentumserwerb; nie bei beiden. Vorherrschend ist in solchen Fällen die Besteuerung beim Forderungser- werb (BGE 113 Ib 23, E. 2e). Von der "Soll-Methode" wird in der Steuerpraxis nur ab- gewichen, soweit die Erfüllung der Forderung – die eigentliche Gegenleistung – als besonders unsicher erscheint (BGr, 10. September 2015, 2C_78/2005, E. 4.2; BGr,</w:t>
      </w:r>
    </w:p>
    <w:p>
      <w:r>
        <w:rPr>
          <w:b/>
        </w:rPr>
        <w:t>E. 9</w:t>
      </w:r>
    </w:p>
    <w:p>
      <w:r>
        <w:t>Juni 2016). Zudem lässt sich dem Testament – das nicht in den Akten, dem kanto- nalen Steueramt aber offensichtlich bekannt war (vgl. Ziff. 3.1 Einspracheentscheid Staats- und Gemeindesteuern 2014) – entnehmen, dass der Nachlass der Erblasserin wohl auch weitere Vermögenswerte, wie z.B. Hausrat und Schmuck, umfasste und der Willensvollstrecker zulasten aller eingesetzten Erben diverse Vermächtnisse auszurich- ten hatte. Wie es sich hinsichtlich dieser weiteren Nachlassaktiven/-passiven in der massgebenden Steuerperiode 2012 verhält, lässt sich den Akten nicht entnehmen. War aber bereits die Höhe des Vermögens und des Ertrags des Gesamtnachlasses nicht genau bekannt, musste dies ebenso für die davon abhängigen, dem Pflichtigen zuzurechnenden Nachlasswerte aus unverteilter Erbschaft gelten. Unter diesen Umständen war es dem kantonalen Steueramt – und ist es bis heute – nicht möglich, die Steuerfaktoren zuverlässig zu ermitteln, weshalb die Voraussetzungen für eine (Teil-)Ermessensveranlagung in Sachen unverteilte Erb- schaft erfüllt waren. Denn wie bereits erwähnt, ist eine solche immer dann vorzuneh- 2 DB.2016.226 2 ST.2016.274</w:t>
      </w:r>
    </w:p>
    <w:p>
      <w:r>
        <w:t>- 17 - men, wenn sich der Sachverhalt auch nach durchgeführter Untersuchung nicht ein- wandfrei ermittelt lässt, unabhängig davon, ob dies auf eine schuldhafte Nichterfüllung von Verfahrenspflichten oder auf andere Gründe zurückzuführen ist. cc) Anstatt beim Pflichtigen hinsichtlich der unverteilten Erbschaft unter Berücksichtigung der vorhandenen Aktenlage die angezeigte Ermessensveranlagung vorzunehmen, hat es das kantonale Steueramt in seinen die ordentliche Veranla- gung/Einschätzung bestätigenden Einspracheentscheiden jedoch dabei belassen, die diesbezüglichen Einkommens- und Vermögenssteuerbeträge allein basierend auf den im Formular S-167 enthaltenen Werten – umgerechnet auf 1/12 – festzusetzen. Des Weiteren blieb damit – entgegen den in den Einspracheentscheiden insoweit zutref- fenden (vgl. vorne E. 4c) Erwägungen des kantonalen Steueramts, dass der Pflichtige sowohl seinen eigenen Erbteil von 1/12 als auch die ihm zustehende Nutzniessung am Erbteil der Stiftung E zu versteuern habe – Letztere in dem die Steuerfaktoren festle- genden jeweiligen Dispositiv der Einspracheentscheide gänzlich unberücksichtigt. Das Absehen von der gebotenen Ermessensveranlagung im Einsprachever- fahren stellt einen bedeutsamen Verfahrensmangel dar (§ 149 Abs. 3 StG), weshalb die Sache in teilweiser Gutheissung der Rechtsmittel zur Wahrung des gesetzlichen Instanzenzugs an das kantonale Steueramt zurückzuweisen ist. Die vom Pflichtigen beantragte Durchführung einer Referentenaudienz, auf die ohnehin kein Anspruch be- steht, macht unter diesen Umständen keinen Sinn und ist daher abzuweisen. Anlässlich der im zweiten Rechtsgang vorzunehmenden Ermessenveranla- gung wird das kantonale Steueramt im Sinn der vorstehenden Erwägung die Höhe des dem Pflichtigen aus der unverteilten Erbschaft zuzurechnenden Nachlassvermögens per 31. Dezember 2012 und Nachlassertrages in der Steuerperiode 2012 zu schätzen haben, wobei allfälligen Nachlassschulden und Ertragsminderungen wie z.B. Vermö- gensverwaltungskosten ebenso Rechnung zu tragen ist. Soweit die neu festzulegen- den Steuerfaktoren in ihrer Gesamtheit zu einer Verböserung gegenüber der ursprüng- lichen Veranlagung/Einschätzung vom 29. Oktober 2014 führen, ist dem Pflichtigen dies vor Abschluss des Einspracheverfahrens anzuzeigen und ihm Gelegenheit zur Stellungnahme zu geben (Art. 135 Abs. 1 DBG, § 142 Abs. 1 StG; RB 2008 Nr. 91). 2 DB.2016.226 2 ST.2016.274</w:t>
      </w:r>
    </w:p>
    <w:p>
      <w:r>
        <w:t>- 18 - d) Anzufügen ist, dass ein Steuerpflichtiger im Rahmen seiner Mitwirkungs- pflichten alles tun muss, um eine vollständige und richtige Veranlagung/Einschätzung zu ermöglichen (Art. 126 Abs. 1 DBG, § 135 Abs. 1 StG). Dies schliesst ein, bei Dritten die für ihn notwendigen Auskünfte und Bescheinigungen zu verlangen. Nicht von unge- fähr obliegen einem Willensvollstrecker Informations- und Auskunftspflichten, die auch die Pflicht zur Gewährung von Akteneinsicht und zur Aktenedition an die Erben bein- halten. Des Weiteren besteht eine Pflicht zur periodischen Berichterstattung. So hat der Willensvollstrecker bei längerdauerndem Mandat den Erben einen jährlichen Rechenschaftsbericht über den Stand des Nachlasses sowie eine detaillierte Honorar- abrechnung über seine bisherigen Bemühungen zu erstatten. Zum Rechenschaftsbe- richt gehört eine aktuelle, belegte Aufstellung über Aktiven und Passiven und nicht nur die Vorlage von Bankauszügen (Karrer/Vogt/Leu, in: Basler Kommentar, 5. A., 2015, Art. 518 N 17 ZGB). Zur Rechenschaftsablegung gehört auch, dass der Willensvoll- strecker den Erben für ihre Steuererklärungen die erforderlichen Angaben über ihren Anteil aus unverteiltem Nachlass und Einkommen daraus zur Verfügung stellt (Christ/Eichner, in: Praxiskommentar Erbrecht, 3. A., 2015, Art. 518 N 38 ZGB). Entsprechend liegt es nahe, dass der als Erbe eingesetzte Pflichtige beim Willensvollstrecker die für ihn notwendigen Angaben für die Steuerperiode 2012 (und aller weiteren Steuerperioden) verlangen kann. Aus den Akten geht indes – abgesehen von den eingeholten Bestätigungen bezüglich fehlenden Mittelzuflusses aus der Erb- schaft sowie der Darlegung des Standpunkts zur Nutzniessung – nicht hervor, dass sich der Pflichtige in Nachachtung seiner Mitwirkungspflichten überhaupt darum be- müht hat, beim Willensvollstrecker Angaben resp. Zahlen zum vorhandenen Nachlass- vermögen/Nachlassertrag (z.B. via Rechenschaftsbericht) zwecks Verwendung für die vorliegende Veranlagung/Einschätzung in Erfahrung zu bringen. Denn selbst wenn aufgrund unterschiedlicher Auffassungen von Willensvollstrecker und Pflichtigem die genaue Höhe von dessen Anspruch auf einen Teil des Nachlasses samt Erträgen nicht eindeutig oder nur unter Vorbehalt angegeben werden kann, dürfte dies bezüglich der Höhe des bestehenden Gesamtnachlasses per 31. Dezember 2012 und der erwirt- schafteten Gesamterträge im Jahr 2012 kaum zutreffen. Für den Erhalt der für die Steuern relevanten Angaben hätte es daher am Pflichtigen gelegen, hierfür in erster Linie den Willensvollstrecker anzugehen. In diesem Zusammenhang sei auch erwähnt, dass die monierte fehlende Schlussabrechnung zum Schlussbericht der zuständigen KESB über die Verwaltung des Mündelvermögens sodann höchstens Auskunft über 2 DB.2016.226 2 ST.2016.274</w:t>
      </w:r>
    </w:p>
    <w:p>
      <w:r>
        <w:t>- 19 - die Verhältnisse am Stichtag des Eintritts der Volljährigkeit im Jahr 2012 zu geben vermöchte. Beim Willensvollstrecker dürfte ferner auch eine Kopie des amtlichen Nach- lassinventars zu erhalten sein, um welches das kantonale Steueramt den Pflichtigen mit Auflage und Mahnung u.a. ersucht hat. Dieses ist vorliegend nicht aktenkundig. Indes lässt der eingereichte undatierte Vertragsentwurf mit der Stiftung E darauf schliessen, dass das dort in der Präambel und als Anhang 1 angeführte öffentliche Nachlassinventar beim Pflichtigen bereits vorhanden ist. Was sodann das dem Steuer- amt übermittelte Formular S-167 betrifft, über dessen Existenz der Pflichtige seit No- vember 2014 informiert ist, bleibt es diesem überlassen, diesbezüglich ebenfalls den Willensvollstrecker anzugehen oder beim kantonalen Steueramt Einsicht in die Akten zu nehmen. e) Anzumerken bleibt, dass auch ein komplexer und dementsprechend meist langwieriger Erbschaftsprozess in aller Regel keinen zureichenden Grund darstellt, mit der Veranlagung der Erben lange zuzuwarten. Dies gilt insbesondere deshalb, weil 15 Jahre nach Ablauf der Steuerperiode kraft Art. 120 Abs. 4 DBG bzw. § 130 Abs. 4 StG die absolute Verjährung eintritt. Soweit die Erben aufgrund eines hängigen Rechtsstreits über die Erbschaft ganz oder teilweise nicht verfügen können, fallen nach Art. 166 DBG bzw. § 177 StG Zahlungserleichterungen in Betracht. Ob der Pflichtige darauf angewiesen ist, kann hier offenbleiben; jedenfalls hat er mit Schreiben vom 15. Oktober 2015 an den Steuerkommissär angeführt, bis zum Steuerjahr 2015 provi- sorische Steuerrechnungen von rund Fr. 450'000.- bezahlt zu haben. f) Sollten sich die neu festzusetzenden Steuerfaktoren nach Eintritt der Rechtskraft in der Folge aufgrund geänderter Erbquote als unrichtig erweisen, ist nach einer in der Lehre geäusserten Auffassung eine Korrektur im Rahmen eines Revisions- bzw. Nachsteuerverfahrens angezeigt (Richner/Frei/Kaufmann/Meuter, Art. 10 N 10 DBG; vgl. Hunziker/Meyer-Knobel in: Kommentar zum Schweizerischen Steuerrecht, DBG, 3. A., 2017, Art. 10 N 6 DBG). Auch das kantonale Steueramt scheint sich dem anzuschliessen (vgl. E-Mail vom 11. Mai 2016). 2 DB.2016.226 2 ST.2016.274</w:t>
      </w:r>
    </w:p>
    <w:p>
      <w:r>
        <w:t>- 20 - 6. a) Nach dem Gesagten sind Beschwerde und Rekurs teilweise gutzuheis- sen. Die Einspracheentscheide vom 23. September 2016 sind aufzuheben und die Sache ist im Sinn der Erwägungen an das kantonale Steueramt zurückzuweisen. b) Eine Rückweisung an die Vorinstanz mit offenem Prozessausgang gilt in Bezug auf die Kosten- und Entschädigungsregelung als Obsiegen der rechtsmittelfüh- renden Partei, wobei es keine Rolle spielt, ob die Rückweisung beantragt wurde (BGr, 28. April 2014, 2C_845/2013 + 2C_846/2013, E. 3.2 und 3.3; VGr, 28. August 2014, VB.2014.00106, E. 2.3). Die Gerichtskosten sind daher der Beschwerdegegnerin/dem Rekursgegner aufzuerlegen (Art. 144 Abs.1 DBG, § 151 Abs. 1 StG). c) Dem formell obsiegenden Pflichtigen steht nach Art. 144 Abs. 4 DBG i.V.m. Art. 64 Abs. 1 des Bundesgesetzes über das Verwaltungsverfahren vom 20. Dezem- ber 1968 (VwVG) bzw. § 152 StG i.V.m. § 17 Abs. 2 des Verwaltungsrechtspflegege- setzes vom 24. Mai 1959 (VRG) eine Parteientschädigung zu. Unter Berücksichtigung des unbestimmten Streitwerts sowie der zu prüfenden Sach- und Rechtsfragen recht- fertigt sich für das Beschwerde- und das Rekursverfahren eine Vergütung von (insge- samt) Fr. 2'000.- (Mehrwertsteuer inbegriffen). 7.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