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DB.2016.167 vom 14. Juli 2017</w:t>
      </w:r>
    </w:p>
    <w:p>
      <w:r>
        <w:t>ZH Steuerrekursgericht, 2017-07-14, DE</w:t>
      </w:r>
    </w:p>
    <w:p>
      <w:r>
        <w:rPr>
          <w:b/>
        </w:rPr>
        <w:t xml:space="preserve">Quelle: </w:t>
      </w:r>
      <w:r>
        <w:t>https://mcp.opencaselaw.ch/entscheid/zh_steuerrekursgericht_DB.2016.167</w:t>
      </w:r>
    </w:p>
    <w:p>
      <w:r>
        <w:t>FR: ZH_STEUERREKURSGERICHT DB.2016.167 du 14 juillet 2017</w:t>
      </w:r>
    </w:p>
    <w:p>
      <w:r>
        <w:t>IT: ZH_STEUERREKURSGERICHT DB.2016.167 del 14 luglio 2017</w:t>
      </w:r>
    </w:p>
    <w:p>
      <w:pPr>
        <w:pStyle w:val="Heading2"/>
      </w:pPr>
      <w:r>
        <w:t>Regeste</w:t>
      </w:r>
    </w:p>
    <w:p>
      <w:r>
        <w:t>Geschäftsmässig begründeter Aufwand, Arbeitgeberbeiträge für einen Kadervorsorgeplan in der 2. Säule, Verletzung vorsorgerechtlicher Grundsätze, Unterstellung Aktionäre unter Basisplan, Korrektur Arbeitgeberbeitragsreserve. - Werden die Mitarbeitenden - mit Ausnahme minimal erhöhter Altersgutschriften - lediglich im Rahmen des BVG-Obligatoriums versichert, während die Eintrittsschwelle für eine weitergehende Kaderversicherung erst bei hohen Fr. 194'880.- erreicht ist, sind aufgrund der sehr grossen dazwischenliegenden Lücke beim versicherten Lohn die vorsorgerechtlichen Grundsätze der Kollektivität und der Gleichbehandlung verletzt. Dies deshalb, weil durch diese vorsorgerechtlich willkürliche Nichtzuweisung zum Kader für Mitarbeitende mit faktischer Linien- oder Fachkaderfunktion und entsprechende hohem Lohn noch unterhalb der Eintrittsschwelle das Vorsorgeziel der Erreichung von Altersleistungen im Umfang von 60% des letzten Lohns vor der Pensionierung massiv unterschritten wird. Die Arbeitsgeberbeiträge für den Kaderplan sind nicht abzugsfähig. Da der Mitarbeiterplan sehr offen formuliert ist, können die im Rahmen des vorsorgewidrigen Kaderplans versicherten Aktionäre als im Rahmen des Basisplans versichert gelten. Rückweisung zwecks genauer Ermittlung der Arbeitgeberbeiträge für die Aktionäre in Anwendung des Basisplans, zur Neuberechnung der sich hieraus ergebenden zulässigen Arbeitgeberbeitragsreserven sowie der verminderten Steuerückstellungen.</w:t>
      </w:r>
    </w:p>
    <w:p>
      <w:pPr>
        <w:pStyle w:val="Heading2"/>
      </w:pPr>
      <w:r>
        <w:t>Erwägungen</w:t>
      </w:r>
    </w:p>
    <w:p>
      <w:r>
        <w:rPr>
          <w:b/>
        </w:rPr>
        <w:t>E. 2</w:t>
      </w:r>
    </w:p>
    <w:p>
      <w:r>
        <w:t>ST.2016.198</w:t>
      </w:r>
    </w:p>
    <w:p>
      <w:r>
        <w:t>- 3 - umfassen nach verschiedenen Altersgruppen gestaffelt zwischen 8% und 19% des im BVG-Obligatorium versicherten Gehalts, wobei die Beiträge vom Arbeitnehmer und vom Arbeitgeber paritätisch zu je 50% finanziert werden. Im Vorsorgeplan für die Kategorien Mitarbeitende, deren Jahresgehalt den 7-fachen Betrag der maximalen AHV-Rente (2012: 7 x Fr. 27'840.- = Fr. 194'880.-) übersteigt (nachfolgend Kaderplan), welchem 2012 die drei Aktionäre angehörten, sind Jahresgehälter bis 100% des maximal versicherbaren Gehalts (2012: Fr. 835'200.-) abzüglich des Koordinationsabzugs (2012: Fr. 24'360.-) versichert. Lediglich im Zu- sammenhang mit der Bestimmung des Umfangs einer Invalidenrente wird auf einen versicherten Lohn im Umfang des 4-fachen der maximalen einfachen AHV-Altersrente (2012: 4 x Fr. 27'840.- = Fr. 111'360.-) abgestellt. Die jährlichen Altersgutschriften um- fassen für alle Altersgruppen 29% des koordinierten versicherten Gehalts bis Fr. 810'840.-, wobei die Beiträge vom Arbeitnehmer zu 25% und vom Arbeitgeber zu 75% finanziert werden. b) Im Zusammenhang mit der Neuordnung der beruflichen Vorsorge überwies die Pflichtige dem Vorsorgeträger am 16. April 2012 überdies den Betrag von Fr. 500'000.- zwecks weiterer Erhöhung einer bereits im Vorjahr bestehenden Arbeit- geberbeitragsreserve für die berufliche Vorsorge von Fr. 622'026.95.</w:t>
      </w:r>
    </w:p>
    <w:p>
      <w:r>
        <w:rPr>
          <w:b/>
        </w:rPr>
        <w:t>E. 3</w:t>
      </w:r>
    </w:p>
    <w:p>
      <w:r>
        <w:t>Nach verschiedenen Abklärungen und Besprechungen rechnete der Steu- erkommissär mit Veranlagungsverfügung für die direkte Bundessteuer 01.01. - 31.12.2012 vom 20. November 2014 bzw. mit Einschätzungsentscheid für die Staats- und Gemeindesteuern 01.01. - 31.12.2012 gleichen Datums zum Reingewinn gemäss Erfolgsrechnung 2012 der Pflichtigen von Fr. 1'694'075.- die BVG-Arbeitgeberbeiträge für den Kaderplan im Umfang von Fr. 207'071.-, die BVG-Arbeitgeberbeitragsreserve im Umfang von Fr. 1'126'901.- sowie die Verzinsung 2012 auf der BVG Arbeitgeberbei- tragsreserve von Fr. 5'160.- auf. Als zulässige BVG-Arbeitgeberbeitragsreserve bzw. Verzinsung derselben liess er lediglich Fr. 90'076.- bzw. Fr. 412.- zum Abzug zu. Dies führte für die direkte Bundessteuer 01.01. - 31.12.2012 zu einem steuerbaren Reinge- winn von Fr. 2'942'700.- bzw. bei den Staats- und Gemeindesteuern 01.01. - 31.12.2012 nach Zuweisung eines Gewinnanteils von Fr. 353'115.- an den Kanton Bern zu einem steuerbaren Reingewinn von Fr. 2'589'600.-. Nach Aufrechnung der überschüssigen Arbeitgeberbeitragsreserve im Umfang von Fr. 1'036'825.- erhöhte er zudem das steuerbare Eigenkapital bei der direkten Bundessteuer 01.01. - 31.12.2012 2 DB.2016.167 2 ST.2016.198</w:t>
      </w:r>
    </w:p>
    <w:p>
      <w:r>
        <w:t>- 4 - von Fr. 5'629'162.- auf Fr. 6'665'987.-, bei den Staats- und Gemeindesteuern 01.01. - 31.12.2012 nach Zuweisung von Fr. 30'482.- an den Kanton Bern auf Fr. 6'635'505.-. Die Aufrechnungen begründete er damit, dass der Kaderplan sowohl den Grundsatz der Kollektivität als auch denjenigen der Angemessenheit der Vorsorge ver- letze, weshalb der Kaderplan als Ganzes abzulehnen sei. Da die Aktionäre nicht im (Basis-)Mitarbeiterplan versichert seien, bestehe für diese aus steuerrechtlicher Sicht gar keine Vorsorge. Mangels entsprechender rechtlicher Grundlage könne zudem kei- ne rückwirkende Anwendung eines im Jahr 2014 neu gestalteten Vorsorgeplans ge- währt werden. Schliesslich sei dem kantonalen Steueramt aufgrund der Rechtspre- chung des Steuerrekursgerichts jegliches Ermessen im Sinn der Anwendung eines durch das Steueramt ausgearbeiteten Schattenplans verwehrt. Die Arbeitgeberbeiträge gemäss Kaderplan stellten in der Folge nicht geschäftsmässig begründeten Aufwand dar, was auch zu einer entsprechenden Kürzung der BVG-Arbeitgeberbeitragsreserven führe. B. Die von der Pflichtigen erhobene Einsprachen vom 3. Dezember 2014, in welcher diese die Einhaltung der Vorsorgegrundsätze der Kollektivität und Angemes- senheit vertreten sowie die Aufrechnung einer geldwerten Leistung trotz Vorsorge- rechtskonformität des Kaderplans im Umfang von insgesamt Fr. 484'501.- beantragt hatte, wies das kantonale Steueramt mit Einspracheentscheiden vom 11. Juli 2016 in der Sache ab. Hingegen gewährte das Steueramt aufgrund der aktuellen Rechtspre- chung des Bundesgerichts Steuerrückstellungen im Umfang von Fr. 290'000.- als Fol- ge der vorgenommenen Korrekturen. In teilweiser Gutheissung der Einsprachen setzte es für die direkte Bundessteuer 01.01. - 31. 12.2012 den steuerbaren Reingewinn auf Fr. 2'652'700.-, das steuerbare Eigenkapital auf Fr. 6'375'000.-, für die Staats- und Gemeindesteuern 01.01. - 31.12.2012 den steuerbaren bzw. satzbestimmenden Rein- gewinn auf Fr. 2'334'400.- bzw. Fr. 2'652'700.- sowie das steuerbare bzw. satzbestim- mende Eigenkapital auf Fr. 6'346'000.- bzw. Fr. 6'375'000.- fest. C. Mit Beschwerde bzw. Rekurs vom 16. August 2016 liess die Pflichtige ihre Einspracheanträge unter Ergänzung der Begründung für die Einhaltung der vorsorge- rechtlichen Grundsätze (inkl. des durch das kantonale Steueramt erstmals im Ein- spracheentscheid als verletzt qualifizierten Grundsatzes der Gleichbehandlung) erneu- 2 DB.2016.167 2 ST.2016.198</w:t>
      </w:r>
    </w:p>
    <w:p>
      <w:r>
        <w:t>- 5 - ern. Zudem wies sie darauf hin, dass selbst bei Vorsorgewidrigkeit des Kaderplans BVG-Beiträge im Umfang des BVG-Obligatoriums anzuerkennen wären, da eine ent- sprechende gesetzliche Versicherungspflicht bestehe. Schliesslich beantrage sie die Zusprechung einer Parteientschädigung. Mit Beschwerde-/Rekursantwort vom 14. September 2016 schloss das kanto- nale Steueramt auf kostenfällige Abweisung der Rechtsmittel. Diesem Antrag schloss sich die Eidgenössische Steuerverwaltung am 28. September 2016 betreffend die di- rekte Bundessteuer 01.01. - 31.12.2012 an, während sie im Bereich der Staats- und Gemeindesteuern auf einen Antrag verzichtete. In Wahrung des Replikrechts reichte die Pflichtige am 27. September 2016 eine Stellungnahme zur Rechtsmittelbeantwortung des kantonalen Steueramts ein. Letzteres liess sich hierzu nicht mehr vernehmen. Auf die Vorbringen der Parteien wird – soweit rechtserheblich – in den nach- folgenden Erwägungen zurückgekommen. Die Kammer zieht in Erwägung: 1. a) Der steuerbare Reingewinn einer Aktiengesellschaft setzt sich gemäss Art. 58 Abs. 1 des Bundesgesetzes über die direkte Bundessteuer vom 14. Dezem- ber 1990 (DBG) bzw. § 64 Abs. 1 des Steuergesetzes vom 8. Juni 1997 (StG) zusam- men aus dem Saldo der Erfolgsrechnung, unter Berücksichtigung des Saldovortrags des Vorjahres (lit. a bzw. Ziff. 1) und (u.a.) allen vor Berechnung des Saldos der Er- folgsrechnung ausgeschiedenen Teilen des Geschäftsergebnisses, die nicht zur De- ckung von geschäftsmässig begründetem Aufwand verwendet werden (lit. b bzw. Ziff. 2). b) Zum geschäftsmässig begründeten Aufwand einer Aktiengesellschaft gehö- ren auch die Zuwendungen an Vorsorgeeinrichtungen zu Gunsten des eigenen Perso- nals, sofern jede zweckwidrige Verwendung ausgeschlossen ist (Art. 59 Abs. 1 2 DB.2016.167 2 ST.2016.198</w:t>
      </w:r>
    </w:p>
    <w:p>
      <w:r>
        <w:t>- 6 - lit. b DBG und § 65 Abs. 1 lit. b StG i.V.m. Art. 81 Abs. 1 des Bundesgesetzes über die berufliche Alters-, Hinterlassenen- und Invalidenvorsorge vom 25. Juni 1982, BVG). Zuwendungen an Pensionskassen fallen unter diese Bestimmungen, wenn sie auf einer verbindlichen gesetzlichen oder statutarischen Grundlage beruhen, welche u.a. den Grundsätzen der Kollektivität, Angemessenheit der Vorsorge, der Planmäs- sigkeit sowie der Gleichbehandlung der Vorsorgenehmer eines Kollektivs zu ent- sprechen haben (vgl. zu den Grundsätzen aktuell BGr, 6. Februar 2017, 2C_745 + 748/2016 sowie BGE 120 Ib 199; Richner/Frei/Kaufmann/Meuter, Handkommentar zum DBG, 3. A., 2016, Art. 56 N 23 ff. DBG, und Kommentar zum Zürcher Steuerge- setz, 3. A., 2013, § 61 N 27 ff. StG; Hunziker/Mayer-Knobel, in: Kommentar zum Schweizerischen Steuerrecht, Bundesgesetz über die direkte Bundessteuer, 3. A., 2017, Art. 33 N 23 und 23b ff. DBG; Jacques-André Schneider, in: Handkommentar zum BVG und FZG, 2010, Art. 1 N 22 ff. BVG). In Art. 1 Abs. 3 BVG wird der Bundes- rat beauftragt, die Grundsätze der Angemessenheit, der Kollektivität, der Gleichbe- handlung, der Planmässigkeit sowie des Versicherungsprinzips zu präzisieren. Dieser hat gestützt darauf die Art. 1-1h der Verordnung über die berufliche Alters-, Hinterlas- senen- und Invalidenversicherung vom 18. April 1984 (in der Fassung vom 10. Ju- ni 2005, in Kraft seit 1. Januar 2006, BVV 2) erlassen. 2. a) Der Grundsatz der Kollektivität verlangt den Einbezug sämtlicher Arbeit- nehmer eines Unternehmens in die berufliche Vorsorge. Indessen ist es gestattet, für verschiedene Versichertengruppen unterschiedliche Vorsorgepläne vorzusehen. Mass- gebend ist, dass sich die Zugehörigkeit zu einem Kollektiv nach objektiven Kriterien richtet. Als solche Kriterien nennt Art. 1c Abs. 1 BVV 2 die Anzahl der Dienstjahre, die ausgeübte Funktion, die hierarchische Stellung im Betrieb, das Alter oder die Lohnhö- he. Die entsprechenden reglementarischen Bestimmungen zur Gruppenbildung müs- sen allgemein und unpersönlich gefasst sein, da auf einzelne Personen zugeschnittene Kriterien gegen den Grundsatz der Kollektivität verstossen würden. So kann eine Vor- sorgeeinrichtung etwa einen Plan für die Mitarbeiter vorsehen, der dem BVG-Minimum entspricht, und einen überobligatorischen Vorsorgeplan für die Mitglieder des Kaders. Solange sich der Arbeitgeber auf objektive Kriterien abstützt, die auf das gesamte Per- sonal anwendbar sind, hat er ausserdem die Möglichkeit, nur gewisse Kategorien des Personals der überobligatorischen Vorsorge anzuschliessen. Innerhalb desselben Kol- lektivs können gemäss Art. 16 BVG je nach dem Alter der Person unterschiedliche 2 DB.2016.167 2 ST.2016.198</w:t>
      </w:r>
    </w:p>
    <w:p>
      <w:r>
        <w:t>- 7 - Beitragssätze angewandt werden. Gemäss Art. 1c Abs. 2 BVV 2 ist die Kollektivität auch im Fall der Versicherung nur einer einzelnen Person eingehalten, wenn gemäss Reglement die Aufnahme weiterer Personen grundsätzlich möglich ist ("virtuelle Kollek- tivität", BGr, 20. März 2002, Pra 2002 Nr. 208 = StE 2002 B 72.14.1 Nr. 20; Rich- ner/Frei/Kaufmann/Meuter, Art. 56 N 30 DBG und § 61 N 33 StG; Hans-Ulrich Stauffer, Berufliche Vorsorge, 2. A, 2012, S. 120 f.; Maute/Steiner/Rufener/Lang, Steuern und Versicherungen, 3. A., 2011, S. 141 f.; Hunziker/Mayer-Knobel, Art. 33 N 23f ff. DBG). Die zukünftige Zulassung einer Person muss aber eine realistische Möglichkeit darstel- len. Bei Arbeitgebern, bei denen es unrealistisch ist, dass künftig auch eine weitere Person die Aufnahmebedingungen erfüllt (zum Beispiel Lohnniveau oder Zugehörigkeit zum Kader), sind die Voraussetzungen der (virtuellen) Kollektivität nicht erfüllt (BGr,</w:t>
      </w:r>
    </w:p>
    <w:p>
      <w:r>
        <w:rPr>
          <w:b/>
        </w:rPr>
        <w:t>E. 6</w:t>
      </w:r>
    </w:p>
    <w:p>
      <w:r>
        <w:t>Abhängig vom ermittelten Umfang der für die drei Aktionäre neu abzugsbe- rechtigten Arbeitgeberbeiträge wird für die Gewinnberechnung bzw. Kapitalbestim- mung durch das kantonale Steueramt auch der reduzierte Umfang der aufzurechnen- den Arbeitgeberbeitragsreserven sowie die sich aus diesen Korrekturen ergebenden – im Vergleich zum Einspracheentscheid reduzierten – Steuerrückstellungen neu zu er- mitteln sein.</w:t>
      </w:r>
    </w:p>
    <w:p>
      <w:r>
        <w:rPr>
          <w:b/>
        </w:rPr>
        <w:t>E. 7</w:t>
      </w:r>
    </w:p>
    <w:p>
      <w:r>
        <w:t>Die vorstehenden Erwägungen führen zur teilweisen Gutheissung der Rechtsmittel (Rückweisung). Die Sache ist zur weiteren Untersuchung und zum Neu- entscheid im Sinn der Erwägungen an das kantonale Steueramt ins Veranlagungs-/ Einschätzungsverfahren zurückzuweisen Von der Rückweisung betroffen sind rechnerisch noch genau zu ermittelnde Arbeitgeberbeiträge für die Aktionäre unter Anwendung der Regeln des Mitarbeiter- plans. Die diesbezügliche Korrektur zugunsten der Pflichtigen wird insgesamt voraus- sichtlich im Bereich zwischen Fr. 15'000.- und Fr. 20'000.- zu liegen kommen. Die Auf- rechnung der geschäftsmässig nicht begründeten Arbeitgeberbeitragsreserve (inkl. Zinsanteil) wird in der Folge voraussichtlich um weitere Fr. 75'000.- bis Fr. 100'000.- herabzusetzen sein. In Anbetracht der Parteianträge rechtfertigt es sich unter diesen Umständen, die Gerichtskosten zu drei Vierteln der Beschwerdeführerin/Rekurrentin und zu einem Viertel der Beschwerdegegnerin/dem Rekursgegner aufzuerlegen. Der Pflichtigen steht überdies keine Parteientschädigung zu (Art. 144 Abs. 4 DBG in Ver- bindung mit Art. 64 Abs. 1 - 3 des Verwaltungsverfahrensgesetzes vom 20. Dezem- ber 1968; § 152 StG i.V.m. § 17 Abs. 2 des Verwaltungsrechtspflegegesetzes vom 24. Mai 1959/6. September 1987).</w:t>
      </w:r>
    </w:p>
    <w:p>
      <w:r>
        <w:rPr>
          <w:b/>
        </w:rPr>
        <w:t>E. 8</w:t>
      </w:r>
    </w:p>
    <w:p>
      <w:r>
        <w:t>Der vorliegende Rückweisungsentscheid stellt nach der Rechtsprechung des Bundesgerichts einen Zwischenentscheid dar (BGE 133 II 409 E. 1.2). Solche sind nach § 19a Abs. 2 VRG i.V.m. Art. 93 des Bundesgerichtsgesetzes vom 17. Juni 2005 vor Verwaltungsgericht nur dann anfechtbar, wenn sie einen nicht wiedergutzuma- 2 DB.2016.167 2 ST.2016.198</w:t>
      </w:r>
    </w:p>
    <w:p>
      <w:r>
        <w:t>- 15 - 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