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DB.2015.194 vom 21. März 2016</w:t>
      </w:r>
    </w:p>
    <w:p>
      <w:r>
        <w:t>ZH Steuerrekursgericht, 2016-03-21, DE</w:t>
      </w:r>
    </w:p>
    <w:p>
      <w:r>
        <w:rPr>
          <w:b/>
        </w:rPr>
        <w:t xml:space="preserve">Quelle: </w:t>
      </w:r>
      <w:r>
        <w:t>https://mcp.opencaselaw.ch/entscheid/zh_steuerrekursgericht_DB.2015.194</w:t>
      </w:r>
    </w:p>
    <w:p>
      <w:r>
        <w:t>FR: ZH_STEUERREKURSGERICHT DB.2015.194 du 21 mars 2016</w:t>
      </w:r>
    </w:p>
    <w:p>
      <w:r>
        <w:t>IT: ZH_STEUERREKURSGERICHT DB.2015.194 del 21 marzo 2016</w:t>
      </w:r>
    </w:p>
    <w:p>
      <w:pPr>
        <w:pStyle w:val="Heading2"/>
      </w:pPr>
      <w:r>
        <w:t>Regeste</w:t>
      </w:r>
    </w:p>
    <w:p>
      <w:r>
        <w:t>Eine von der Arbeitgeberin bei der Entlassung ausbezahlte Leistung von Fr. 230'000.- ist aufgrund der konkreten Umstände nicht als vorsorgeähnliche Kapitalleistung zu betrachten. Der Pflichtige war bei der Kündigung 50 Jahre alt und hat innert sechs Monaten eine neue Stelle gefunden mit einem nur geringfügig tieferen Anfangsgehalt. Ebenso stellt die Leistung der Arbeitgeberin keine Leistung für wiederkehrende Zahlungen -im Sinn entgangenen Lohns - dar.</w:t>
      </w:r>
    </w:p>
    <w:p>
      <w:pPr>
        <w:pStyle w:val="Heading2"/>
      </w:pPr>
      <w:r>
        <w:t>Erwägungen</w:t>
      </w:r>
    </w:p>
    <w:p>
      <w:r>
        <w:rPr>
          <w:b/>
        </w:rPr>
        <w:t>E. 2</w:t>
      </w:r>
    </w:p>
    <w:p>
      <w:r>
        <w:t>ST.2015.240</w:t>
      </w:r>
    </w:p>
    <w:p>
      <w:r>
        <w:t>- 11 - zierte Vorsorge-situation nach dem Stellenwechsel von massgebender Bedeutung sind. Den Akten sind jedoch keine Hinweise zu entnehmen, welche im Dezember 2013 auf eine prognostizierte Vorsorgelücke bei Stellenwechsel hätten schliessen lassen. f) Diese Erwägungen führen dazu, dass die Kapitalleistung der E in Höhe von Fr. 230'000.- nicht als eine Abgangsentschädigung mit Vorsorgecharakter im Sinne von Art. 17 Abs. 2 i.V.m. § 38 DBG bzw. § 17 Abs. 3 i.V.m. 37 StG angesehen werden kann.</w:t>
      </w:r>
    </w:p>
    <w:p>
      <w:r>
        <w:rPr>
          <w:b/>
        </w:rPr>
        <w:t>E. 3</w:t>
      </w:r>
    </w:p>
    <w:p>
      <w:r>
        <w:t>Die Pflichtigen beantragen vor Steuerrekursgericht, von der E als ehemali- ge Arbeitgeberin weitere Unterlagen einzufordern. Wie bereits dargelegt, obliegt es dem Steuerpflichtigen, die geltend gemach- ten steuermindernden Umstände nachzuweisen. Diese Beweisleistung setzt in erster Linie und in jedem Fall eine – spätestens vor Steuerrekursgericht abzugebende – sub- stanziierte Sachdarstellung voraus. Substanziiert ist die Sachdarstellung dann, wenn aus ihr im Einzelnen Art, Motiv und Rechtsgrund der geltend gemachten steuermin- dernden Umstände so dargelegt werden, dass bereits gestützt darauf – aber unter Vorbehalt einer Beweiserhebung – ihre rechtliche Beurteilung möglich ist (VGr, 26. Januar 1988, SB 87/0044; Richner/Frei/Kaufmann/Meuter, Art. 123 N 77 DBG und § 132 N 90 StG, je mit Hinweisen). Fehlt es an einer in diesem Sinn genügenden Sub- stanziierung – welche im Beweisverfahren nicht nachgeholt werden kann (RB 1973 Nr. 35, 1980 Nr. 69) –, so hat das Steuerrekursgericht von sich aus grundsätzlich keine Untersuchung zu führen, um sich die erforderlichen Grundlagen zu beschaffen (RB 1975 Nr. 64), und muss eine Beweisabnahme unterbleiben mit der Wirkung, dass der Nachweis der fraglichen Aufwendung zu Ungunsten des hierfür beweisbelasteten Steuerpflichtigen als gescheitert zu betrachten ist. Für die von ihm verfochtene, hinrei- chend substanziierte Sachdarstellung hat der Steuerpflichtige sodann von sich aus beweiskräftige Unterlagen einzureichen oder die Beweismittel wenigstens unter ge- nauer Bezeichnung anzubieten (vgl. RB 1975 Nr. 55; 1987 Nr. 35). In der Beschwerde bzw. im Rekurs bringen die Pflichtigen lediglich vor, dass gemäss mündlicher Äusserung der Arbeitgeberin anlässlich des Kündigungsgesprächs diese die Kapitalleistung zur Minderung der finanziellen Folgen in der Zukunft ausge- richtet habe. Dies ist vorliegend jedoch nicht umstritten. Einzig strittig und nicht nach- 2 DB.2015.194 2 ST.2015.240</w:t>
      </w:r>
    </w:p>
    <w:p>
      <w:r>
        <w:t>- 12 - gewiesen ist, ob der Kapitalleistung der Arbeitgeberin Vorsorgecharakter zukommt oder nicht. Dem Beweisantrag der Pflichtigen fehlt es somit an der Substanziierung und deshalb ist diesem nicht stattzugeben. Schon aus diesem Grund ist das Begehren, das Steuerrekursgericht solle weitere Unterlagen bei der ehemaligen Arbeitgeberin einfordern, abzuweisen, zumal es allein dem Steuerpflichtigen obliegt, steuermindern- de oder -aufhebende Tatsachen zu substanziieren und nachzuweisen.</w:t>
      </w:r>
    </w:p>
    <w:p>
      <w:r>
        <w:rPr>
          <w:b/>
        </w:rPr>
        <w:t>E. 4</w:t>
      </w:r>
    </w:p>
    <w:p>
      <w:r>
        <w:t>a) Gehören zu den Einkünften Kapitalabfindungen für wiederkehrende Leis- tungen, so wird die Einkommenssteuer unter Berücksichtigung der übrigen Einkünfte und der zulässigen Abzüge zu dem Steuersatz berechnet, der sich ergäbe, wenn an- stelle der einmaligen Leistung eine entsprechende jährliche Leistung ausgerichtet wor- den wäre (Art. 37 DBG; im Wesentlichen gleich: § 36 StG). Art. 37 DBG bzw. § 36 StG sollen verhindern, dass der Steuerpflichtige, der für wiederkehrende und somit periodisch zu besteuernde Leistungen mit einer einmali- gen Kapitalzahlung abgefunden wird, deswegen sein gesamtes Einkommen mit einem seiner wirtschaftlichen Leistungsfähigkeit nicht entsprechenden überhöhten Steuersatz zu versteuern hätte. Da die Einkommenssteuertarife mit ihrer progressiven Ausgestal- tung auf regelmässig zufliessende Einkünfte zugeschnitten sind, würde eine uneinge- schränkte Besteuerung der Kapitalabfindungen für wiederkehrende Leistungen zu einer Verzerrung und damit zu einer Verletzung des Grundsatzes der Besteuerung nach der wirtschaftlichen Leistungsfähigkeit führen. b) Kapitalabfindungen sind einmalige Vermögenszugänge, die dazu bestimmt sind, einen Anspruch auf wiederkehrende Leistungen zu tilgen (StE 2000 B 29.2 Nr. 6 = ZStP 2000, 114; RB 1998 Nr. 138, StE 1998 B 29.2 Nr. 5 = ZStP 1998, 235; ZStP 1996, 216; StE 1994 B 29.2 Nr. 2; RB 1985 Nr. 40 = StE 1986 B 26.13 Nr. 7). Die ab- gegoltenen Ansprüche müssen sich auf mehr als eine Steuerperiode erstrecken, damit sie als wiederkehrend bezeichnet werden können. Mit Kapitalabfindungen können so- wohl zukünftige wiederkehrende Leistungen (Vorauszahlungen von künftig entgehen- den Löhnen, Einmalzahlungen für Baurechtszinsen oder Kiesausbeutung, Rentenaus- käufe, Vorauszahlungen von Mehrjahresmieten etc.) oder auch vergangene Leistungen abgegolten werden (BGr, 5. Oktober 2000, Pra 2001 Nr. 28, ASA 70, 210, StE 2001 B 29.2 Nr. 7 = StR 2001, 23). Bei einmaligen Vermögenszugängen, mit denen keine wiederkehrenden Leistungen abgegolten werden, handelt es sich (neutral) um Kapital- 2 DB.2015.194 2 ST.2015.240</w:t>
      </w:r>
    </w:p>
    <w:p>
      <w:r>
        <w:t>- 13 - zahlungen. So werden z.B. mit Dienstaltersgeschenken keine wiederkehrenden Leis- tungen (Arbeitsleistungen) vergütet, sondern die Treue des Arbeitnehmers belohnt (StE 2004 A 23.1 Nr. 8). c) Einmalleistungen, mit denen aufgelaufene Teilleistungen abgegolten wer- den, sind aber nur dann als Kapitalabfindungen einzustufen, wenn – dem Wesen der betreffenden Leistungen entsprechend – ordentlicherweise eine periodische Ausrich- tung vorgesehen gewesen wäre, und dies ohne Zutun des berechtigten Steuerpflichti- gen unterblieben ist. Diesen Grundsatz hat das Bundesgericht im erwähnten Entscheid vom 5. Oktober 2000 in Bezug auf die direkte Bundessteuer klar festgehalten. Dem- nach kann das etwa der Fall sein bei Rentenleistungen im Bereich der Sozialversiche- rungen, bei unbezahlt gebliebenen Unterhaltsbeiträgen (Art. 125 ZGB) oder bei Lohn- nachzahlungen, die sich auf Art. 8 Abs. 3 der Bundesverfassung vom 18. April 1999 (BV) stützen. Sind derart geschuldete Teilleistungen vorenthalten worden, sodass sie gar nicht periodengerecht versteuert werden konnten, wäre es unbillig, die nachträgli- che Kapitalabfindung zusammen mit dem übrigen Einkommen zum vollen Satz zu be- steuern und den berechtigten Empfänger dadurch steuerrechtlich zu bestrafen. Dem- gegenüber wäre eine Steuersatzermässigung dort nicht gerechtfertigt und auch nicht sachgerecht, wo die Ausrichtung einer Kapitalabfindung anstelle periodischer Teilleis- tungen und der Auszahlungszeitpunkt von der Wahl der Beteiligten abhängen. Deshalb ist eine Anwendung von Art. 37 DBG beispielsweise ausgeschlossen bei der Realisie- rung stiller Reserven, bei Entschädigungen für hingegebenes Kapital, bei Abgangsent- schädigungen (vgl. hierzu Art. 17 Abs. 2 DBG) oder auch bei auf Vereinbarung beru- henden Lohnzahlungen in einem langfristigen Arbeitsverhältnis (vgl. etwa ASA 48, 72 ff.). Es besteht keine Veranlassung, diese vom Bundesgericht im Bereich der direk- ten Bundessteuer entwickelten Grundsätze nicht auch in Bezug auf die Staats- und Gemeindesteuern anzuwenden. d) Aus der am 6. Februar 2016 eingereichten Bestätigung der E ergibt sich, dass es sich bei der Kapitalzahlung um eine nach freiem Ermessen erfolgte Einmal- zahlung handelt, die den Pflichtigen für den Verlust seiner langjährigen Arbeitsstelle entschädigen sollte. Die Zuwendung ist somit kein Ersatzeinkommen für einen künfti- gen Erwerbsausfall oder eine Lohnvorauszahlung. Damit ist die Kapitalzahlung nicht als Ersatzeinkommen für einen künftigen Erwerbsausfall anzusehen, sodass der Eventualantrag ebenfalls abzuweisen ist. 2 DB.2015.194 2 ST.2015.240</w:t>
      </w:r>
    </w:p>
    <w:p>
      <w:r>
        <w:t>- 14 -</w:t>
      </w:r>
    </w:p>
    <w:p>
      <w:r>
        <w:rPr>
          <w:b/>
        </w:rPr>
        <w:t>E. 5</w:t>
      </w:r>
    </w:p>
    <w:p>
      <w:r>
        <w:t>Ausgangsgemäss sind die Kosten des Verfahrens den Pflichtigen aufzuer- legen (Art. 144 Abs. 1 DBG bzw. § 151 Abs. 1 StG) und ist ihnen keine Parteientschä- digung zuzusprechen (Art. 144 Abs. 4 DBG i.V.m. Art. 64 Abs. 1 - 3 des Bundesgeset- zes über das Verwaltungsverfahren vom 20. Dezember 1968 sowie § 152 StG in Verbindung mit § 17 Abs. 2 des Verwaltungsrechtspflegegesetzes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