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DB.2015.129 vom 21. Oktober 2015</w:t>
      </w:r>
    </w:p>
    <w:p>
      <w:r>
        <w:t>ZH Steuerrekursgericht, 2015-10-21, DE</w:t>
      </w:r>
    </w:p>
    <w:p>
      <w:r>
        <w:rPr>
          <w:b/>
        </w:rPr>
        <w:t xml:space="preserve">Quelle: </w:t>
      </w:r>
      <w:r>
        <w:t>https://mcp.opencaselaw.ch/entscheid/zh_steuerrekursgericht_DB.2015.129</w:t>
      </w:r>
    </w:p>
    <w:p>
      <w:r>
        <w:t>FR: ZH_STEUERREKURSGERICHT DB.2015.129 du 21 octobre 2015</w:t>
      </w:r>
    </w:p>
    <w:p>
      <w:r>
        <w:t>IT: ZH_STEUERREKURSGERICHT DB.2015.129 del 21 ottobre 2015</w:t>
      </w:r>
    </w:p>
    <w:p>
      <w:pPr>
        <w:pStyle w:val="Heading2"/>
      </w:pPr>
      <w:r>
        <w:t>Regeste</w:t>
      </w:r>
    </w:p>
    <w:p>
      <w:r>
        <w:t>Ein Schweizer, welcher aus der Europäischen Union in die Schweiz zuzieht, macht dabei keinen Gebrauch vom Freizügigkeitsabkommen CH-EU und kann sich deshalb nicht darauf berufen. Selbst wenn das Freizügigkeitsabkommen CH-EU tangiert wäre, liegt in der Art der Bestimmung des satzbestimmenden Einkommens keine Diskriminierung im Vergleich zu den im ganzen Steuerjahr in der Schweiz ansässigen Steuerpflichtigen.</w:t>
      </w:r>
    </w:p>
    <w:p>
      <w:pPr>
        <w:pStyle w:val="Heading2"/>
      </w:pPr>
      <w:r>
        <w:t>Erwägungen</w:t>
      </w:r>
    </w:p>
    <w:p>
      <w:r>
        <w:rPr>
          <w:b/>
        </w:rPr>
        <w:t>E. 1</w:t>
      </w:r>
    </w:p>
    <w:p>
      <w:r>
        <w:t>Schweizerische Eidgenossenschaft, Beschwerdegegnerin,</w:t>
      </w:r>
    </w:p>
    <w:p>
      <w:r>
        <w:rPr>
          <w:b/>
        </w:rPr>
        <w:t>E. 2</w:t>
      </w:r>
    </w:p>
    <w:p>
      <w:r>
        <w:t>Der Pflichtige beruft sich auf das Diskriminierungsverbot in Art. 2 FZA und Art. 9 Abs. 2 bzw. Art. 24 Anhang I FZA. a) Die Staatsangehörigen einer Vertragspartei, die sich rechtmässig im Ho- heitsgebiet einer anderen Vertragspartei aufhalten, werden bei der Anwendung dieses Abkommens gemäss den Anhängen I, II und III nicht auf Grund ihrer Staatsangehörig- keit diskriminiert (Art. 2 FZA). 1 DB.2015.129 1 ST.2015.159</w:t>
      </w:r>
    </w:p>
    <w:p>
      <w:r>
        <w:t>- 5 - Die Bestimmungen der bilateralen Doppelbesteuerungsabkommen zwischen der Schweiz und den Mitgliedstaaten der Europäischen Gemeinschaft bleiben von den Bestimmungen dieses Abkommens unberührt. Insbesondere lassen die Bestimmungen dieses Abkommens die in den Doppelbesteuerungsabkommen festgelegte Begriffsbe- stimmung des Grenzgängers unberührt (Art. 21 Abs. 1 FZA). Keine Bestimmung die- ses Abkommens ist so auszulegen, dass sie die Vertragsparteien daran hindert, bei der Anwendung ihrer Steuervorschriften eine Unterscheidung zwischen Steuerpflichti- gen zu machen, die sich – insbesondere hinsichtlich ihres Wohnsitzes – nicht in ver- gleichbaren Situationen befinden (Art. 21 Abs. 2 FZA). Ein Arbeitnehmer, der Staatsangehöriger einer Vertragspartei ist, darf auf- grund seiner Staatsangehörigkeit im Hoheitsgebiet der anderen Vertragspartei hinsicht- lich seiner Beschäftigungs- und Arbeitsbedingungen, insbesondere im Hinblick auf die Entlohnung, Kündigung und, falls er arbeitslos geworden ist, im Hinblick auf die berufli- che Wiedereingliederung oder Wiedereinstellung nicht anders behandelt werden als die inländischen Arbeitnehmer (Art. 9 Abs. 1 Anhang I FZA). Ein Arbeitnehmer und seine Familienangehörigen geniessen dort die gleichen steuerlichen und sozialen Ver- günstigungen wie die inländischen Arbeitnehmer und ihre Familienangehörigen (Art. 9 Abs. 2 Anhang I FZA). b) Zunächst ist zu prüfen, ob das FZA durch den Zuzug des Pflichtigen als Schweizer Staatsbürger überhaupt tangiert wird und er damit in dessen Schutzbereich fällt. Gemäss dem zitierten Bundesgerichtsentscheid finden die Bestimmungen des Abkommens nur bei Vorliegen eines grenzüberschreitenden Elements Anwendung (BGE 136 II 241 = Pra 2010 Nr. 124, E. 11.2). Der Wortlaut von Art. 2 FZA scheint zu- dem auszuschliessen, dass sich ein Staatsangehöriger eines Mitgliedstaates gegen Vorschriften oder Praktiken des eigenen Staates wenden kann. Indessen können sich Staatsangehörige auch gegen das eigene Land auf den Grundsatz der Nichtdiskrimi- nierung berufen, wenn die Fallkonstellation auf einem Sachverhalt des Abkommens beruht (Yvo Hangartner, Der Grundsatz der Nichtdiskriminierung wegen der Staatsan- gehörigkeit im Freizügigkeitsabkommen der Schweiz mit der Europäischen Gemein- schaft, AJP 2003, S. 257 ff., 262). Ein Staatsangehöriger eines Mitgliedstaates kann sich damit auf Art. 2 FZA und Art. 9 Abs. 2 Anhang I FZA stützen, um gegenüber sei- 1 DB.2015.129 1 ST.2015.159</w:t>
      </w:r>
    </w:p>
    <w:p>
      <w:r>
        <w:t>- 6 - nem Heimatstaat eine Diskriminierung zu rügen, sofern er von den vom Abkommen und seinen Anhängen anerkannten Rechten und Freiheiten Gebrauch gemacht hat (vgl. den zitierten Entscheid des Bundesgerichts, E. 11.3). Ein solcher Zusammenhang wurde dort bejaht mit Bezug auf einen Schweizer Staatsbürger, welcher in Frankreich Wohnsitz hatte, in der Schweiz einer unselbst- ständigen Erwerbstätigkeit nachging und eine Diskriminierung im Bereich der Quel- lensteuer rügte. Der Aufenthalt in Frankreich und sein Status als Quellenbesteuerter stellten die Folge seines Gebrauchs von im FZA festgesetzten Rechten und Freiheiten dar. c) Im vorliegenden Fall ist indessen kein solcher Bezug ersichtlich. Der Pflich- tige ist als Schweizer Staatsbürger berechtigt, jederzeit in der Schweiz Wohnsitz zu nehmen (Art. 24 BV). Mithin machte er bei seinem Zuzug keinen Gebrauch von den im FZA garantierten Rechten und Freiheiten. Fragen könnte man sich allerdings, ob der Umstand, dass er aus einem EU-Mitgliedsstaat zuzog, den Sachverhalt zu einem sol- chen des FZA macht, beruhte doch sein zu Studienzwecken erfolgter Wegzug ins eu- ropäische Ausland und Aufenthalt dort unmittelbar auf Art. 24 Anhang I FZA (Perso- nen, die keine Erwerbstätigkeit ausüben). Dies ist zu verneinen. Die Ausnützung des FZA endete mit seinem Wegzug aus dem europäischen Ausland; ab diesem Zeitpunkt verlässt er den Geltungsbereich des FZA. Der Sachverhalt unterscheidet sich somit wesentlich von demjenigen im bundesgerichtlichen Leitentscheid, bei welchem der Status des Steuerpflichtigen im Zeitpunkt, in welchem die kritisierten Quellensteuerbe- stimmungen auf ihn angewandt wurden, unmittelbar auf dem FZA beruhte. Eine Vertragsberechtigung lässt sich auch nicht aus einem Vergleich mit ei- nem Staatsangehörigen eines Mitgliedstaates der EU herleiten, welcher wie der Pflich- tige nach einem Studienaufenthalt im europäischen Ausland in die Schweiz zuzieht, um hier einer unselbstständigen Erwerbstätigkeit nachzugehen. Es steht ausser Frage, dass sich ein solcher im Vergleich zu ansässigen Inländern auf das FZA berufen könn- te. Das Verbot der Inländerdiskriminierung greift aber nur, wenn sich ein Schweizer Steuerpflichtiger im Anwendungsbereich des FZA befindet. Bewegt er sich ausserhalb desselben, stellt sich die Frage der Gleichbehandlung unter dem FZA von vornherein nicht. 1 DB.2015.129 1 ST.2015.159</w:t>
      </w:r>
    </w:p>
    <w:p>
      <w:r>
        <w:t>- 7 - Damit gehen die auf das FZA beruhenden Rügen von vornherein fehl.</w:t>
      </w:r>
    </w:p>
    <w:p>
      <w:r>
        <w:rPr>
          <w:b/>
        </w:rPr>
        <w:t>E. 3</w:t>
      </w:r>
    </w:p>
    <w:p>
      <w:r>
        <w:t>Selbst wenn aber das FZA auf ihn anwendbar wäre, würde ihm dies nicht weiterhelfen: a) Das Bundesgericht fasst im zitierten Entscheid die Gemeinschaftsrecht- sprechung im Bereich der direkten Steuern folgendermassen zusammen (E. 13): Diese stellt einen Anwendungsfall der allgemeinen Gleichbehandlungsvorschriften dar, die nicht nur die offenen Diskriminierungen aufgrund der Staatsangehörigkeit verbieten (direkte Diskriminierungen), sondern auch alle versteckten Formen der Diskriminie- rung, die durch die Anwendung anderer Unterscheidungsmerkmale tatsächlich zu dem gleichen Ergebnis führen (indirekte Diskriminierungen). Gemäss dieser Rechtspre- chung muss eine innerstaatliche Rechtsbestimmung jedenfalls dann als indirekt diskri- minierend gelten, wenn sie nicht objektiv gerechtfertigt und verhältnismässig ist, soweit sie aufgrund ihrer Natur die Staatsangehörigen anderer Mitgliedstaaten mehr betreffen kann als die inländischen Staatsangehörigen und folglich die Gefahr besteht, dass sie hauptsächlich die Ersteren benachteiligt. Der Gerichtshof der Europäischen Gemein- schaften befand, selbst wenn die direkte Besteuerung in die Zuständigkeit der Mitglied- staaten falle, müsse diese dennoch in Beachtung des Gemeinschaftsrechts erfolgen. Folglich hat jede offene oder versteckte Diskriminierung aufgrund der Staatsangehörig- keit zu unterbleiben. Der Gerichtshof präzisierte, dass eine Diskriminierung im Sinne des Vertrages zwischen Gebietsansässigen und Gebietsfremden vorliegen kann, wenn ungeachtet ihres ständigen Aufenthalts in verschiedenen Mitgliedstaaten feststeht, dass sich die beiden Kategorien von Steuerpflichtigen hinsichtlich des Gegenstands und des Inhalts der betreffenden innerstaatlichen Bestimmungen in einer vergleichbaren Situation be- finden (E. 13.3). Art. 21 FZA enthält indessen Vorbehalte, welche eine Einschränkung der Per- sonenfreizügigkeit und der Niederlassungsfreiheit rechtfertigen können. Vorliegend von Bedeutung ist in erster Linie Art. 21 Abs. 2 FZA, wonach keine Bestimmung des Ab- kommens so auszulegen ist, dass sie die Vertragsparteien daran hindert, bei der An- wendung ihrer einschlägigen Steuervorschriften eine Unterscheidung zwischen Steu- erpflichtigen zu machen, die sich nicht in vergleichbaren Situationen befinden, 1 DB.2015.129 1 ST.2015.159</w:t>
      </w:r>
    </w:p>
    <w:p>
      <w:r>
        <w:t>- 8 - insbesondere hinsichtlich ihres Wohnsitzes. Der Verweis auf den Wohnsitz in Art. 21 Abs. 2 FZA bezieht sich in erster Linie auf die Quellenbesteuerung (Pascal Hinny, Das Diskriminierungsverbot des Personenverkehrsabkommens im Schweizer Steuerrecht, IFF Forum für Steuerrecht, 2004, S. 183). Aus der Verwendung des Wortes "insbeson- dere" ist aber zu schliessen, dass auch andere steuerliche Sachverhalte eine Unter- scheidung rechtfertigen können. b) Gerügt wird vorliegend der Umstand, dass bei einer Begründung der per- sönlichen Zugehörigkeit unter dem Kalenderjahr das Einkommen ab Beginn der Steu- erpflicht bis zum Jahresende zur Satzbestimmung hochgerechnet wird, während bei ganzjähriger Ansässigkeit, aber auch bei Kantonswechsel unter dem Jahr auf das ef- fektive Einkommen abgestellt wird. Dies führt – bezogen auf das Kalenderjahr – bei gleichen Einkommen zu einer unterschiedlich hohen Besteuerung, wenn die Erwerbs- tätigkeit erst in der zweiten Jahreshälfte ausgeübt wird. c) Dieser Umstand ist indessen unausweichliche Folge der zeitlichen Abgren- zung der Steuerhoheit und objektiv begründet: aa) Die Hochrechnung zur Ermittlung des satzbestimmenden Einkommens ist erforderlich, weil Steuertarife progressiv ausgestaltet sind, und sich der anwendbare Steuersatz nach dem steuerbaren Ganzjahreseinkommen bestimmt. Mit der Steuer- progression wird nach vorherrschender Auffassung dem in Art. 127 Abs. 2 BV vorge- schriebenen Leistungsfähigkeitsprinzip am besten Rechnung getragen (Markus Reich, Steuerrecht, 2. A., 2012, S. 92). Das wird damit begründet, dass die subjektive Fähig- keit, Steuern zu zahlen, mit wachsendem Einkommen nicht linear, sondern überpropor- tional anwächst. Zusätzliche Einkommensteile werden für die Bedürfnisbefriedigung weniger wichtig, der sogenannte Grenznutzen sinkt (BGr, 1. Juni 2007, 2P.43/2006, E. 8, www.bger.ch). bb) Mit der Festsetzung des Beginns der Steuerperiode erst ab Begründung der Steuerpflicht berücksichtigt der Gesetzgeber, dass weder der Bund noch der Kan- ton vor dem Zuzug über die Steuerhoheit verfügt. Steuerhoheit ist Ausfluss der Ge- bietshoheit, d.h. der Herrschaftsgewalt über die im Gebiet des Gemeinwesens befindli- chen Personen und Sachen (Blumenstein/Locher, System des schweizerischen Steuerrechts, 6. A., 2002, S. 43; Richner/Frei/Kaufmann/Meuter, VB zu §§ 3 – 15 StG 1 DB.2015.129 1 ST.2015.159</w:t>
      </w:r>
    </w:p>
    <w:p>
      <w:r>
        <w:t>- 9 - N 2). Die unterschiedliche Länge der Steuerperiode bei Ansässigen und zuziehenden Personen ist demnach Folge der zeitlichen Abgrenzung der Steuerhoheiten von Staa- ten und stellt von vornherein keine Diskriminierung dar. Der Umstand, dass die wirt- schaftlichen Verhältnisse des Pflichtigen während seines Aufenthalts im europäischen Ausland im Vergleich zu denjenigen eines ganzjährig in der Schweiz Ansässigen aus- ser Betracht bleiben, ist somit direkte Folge der Respektierung der Steuerhoheiten der involvierten Staaten. Das erst ab Zuzug bis Ende der Steuerperiode zufliessende Einkommen stellt Massstab für die wirtschaftliche Leistungsfähigkeit in dieser verkürzten Steuerperiode dar. Die Hochrechnung dieses Einkommens zur Feststellung des Steuersatzes ist des- halb konsequent. Massgebend für die wirtschaftliche Leistungsfähigkeit ist zudem die Steuerperiode, nicht das Kalenderjahr. Eine Person, welche innerhalb der verkürzten Steuerperiode dasselbe Einkommen erwirtschaftet wie eine andere innerhalb einer ganzjährigen Steuerperiode, ist bezogen auf die massgebende Steuerperiode wirt- schaftlich leistungsfähiger. Die Verhältnisse vor und nach der Steuerperiode bleiben zudem auch bei Ein- schätzungen mit ganzjähriger Bemessungsperiode unberücksichtigt. Genauso wie dort Einkommen aus dem Vorjahr keine Rolle spielt, muss dies auch bei einer verkürzten Steuerperiode der Fall sein. In diesem Zusammenhang ist dem Pflichtigen zudem ent- gegen zu halten, dass nur in seinem speziellen Fall eine höhere Steuerbelastung resul- tiert. Steuerpflichtige, welche im Ausland ein höheres Einkommen erzielt haben als nach ihrem Zuzug in der Schweiz, erhalten mit der getroffenen Lösung einen Vorteil, bleibt doch ihr Auslandseinkommen bei der Satzbestimmung ausser Betracht. Dassel- be trifft zu, wenn der Steuerpflichtige vor Zuzug nicht regelmässig fliessende Einkünfte vereinnahmt hat; diese müssten nach der Lösung des Pflichtigen ebenfalls satzbe- stimmend berücksichtigt werden. Weiter ergeben sich praktische Probleme, fehlen doch der hiesigen Steuerbehörde Untersuchungsmittel mit Bezug auf die wirtschaftli- chen Verhältnisse im Ausland vor Zuzug. Weiter ist darauf hinzuweisen, dass die vom Pflichtigen verlangte Art der Ta- rifbestimmung im schweizerischen Steuerrecht auch sonst nirgends vorgesehen ist. Eine Besteuerung des steuerbaren Einkommens in der verkürzten Steuerperiode zum Steuersatz des effektiven Einkommens im gesamten Kalenderjahr gibt es nicht. Insbe- 1 DB.2015.129 1 ST.2015.159</w:t>
      </w:r>
    </w:p>
    <w:p>
      <w:r>
        <w:t>- 10 - sondere erfolgt auch bei interkantonalem Wohnsitzwechsel die Besteuerung des ge- samten Jahreseinkommens im Wohnsitzkanton am Ende des Jahres, was bei interna- tionalen Sachverhalten eben gerade unmöglich ist. In der Verweigerung der vom Pflichtigen beantragten Art der Tarifbestimmung kann deshalb von vornherein keine Diskriminierung erblickt werden.</w:t>
      </w:r>
    </w:p>
    <w:p>
      <w:r>
        <w:rPr>
          <w:b/>
        </w:rPr>
        <w:t>E. 4</w:t>
      </w:r>
    </w:p>
    <w:p>
      <w:r>
        <w:t>Gestützt auf diese Erwägungen sind die Rechtsmittel abzuweisen. Aus- gangsgemäss sind die Kosten des Verfahrens dem Pflichtigen aufzuerlegen (Art. 144 Abs. 1 DBG und § 151 Abs. 1 StG) und ist ihm keine Parteientschädigung zuzuspre- chen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